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0B" w:rsidRDefault="00AA090B" w:rsidP="00AA090B">
      <w:pPr>
        <w:pStyle w:val="a5"/>
        <w:ind w:left="851" w:firstLine="2"/>
        <w:rPr>
          <w:rFonts w:ascii="標楷體" w:eastAsia="標楷體" w:hAnsi="標楷體"/>
        </w:rPr>
      </w:pPr>
      <w:r w:rsidRPr="00026608">
        <w:rPr>
          <w:rFonts w:ascii="標楷體" w:eastAsia="標楷體" w:hAnsi="標楷體"/>
        </w:rPr>
        <w:t>國立臺灣海洋大學</w:t>
      </w:r>
      <w:r w:rsidRPr="00A17EFE">
        <w:rPr>
          <w:rFonts w:ascii="標楷體" w:eastAsia="標楷體" w:hAnsi="標楷體" w:hint="eastAsia"/>
          <w:color w:val="FF0000"/>
          <w:u w:val="single"/>
        </w:rPr>
        <w:t>科研產業化平台</w:t>
      </w:r>
      <w:r w:rsidRPr="00A17EFE">
        <w:rPr>
          <w:rFonts w:ascii="標楷體" w:eastAsia="標楷體" w:hAnsi="標楷體"/>
          <w:color w:val="FF0000"/>
          <w:u w:val="single"/>
        </w:rPr>
        <w:t>計畫</w:t>
      </w:r>
      <w:r w:rsidRPr="00026608">
        <w:rPr>
          <w:rFonts w:ascii="標楷體" w:eastAsia="標楷體" w:hAnsi="標楷體"/>
        </w:rPr>
        <w:t>人員進用及支給要點</w:t>
      </w:r>
    </w:p>
    <w:p w:rsidR="00DD723B" w:rsidRPr="00A17EFE" w:rsidRDefault="00DD723B" w:rsidP="00DD723B">
      <w:pPr>
        <w:spacing w:before="56"/>
        <w:ind w:right="174"/>
        <w:jc w:val="right"/>
        <w:rPr>
          <w:rFonts w:ascii="Times New Roman" w:eastAsia="標楷體" w:hAnsi="Times New Roman" w:cs="Times New Roman"/>
          <w:sz w:val="20"/>
        </w:rPr>
      </w:pPr>
      <w:r w:rsidRPr="00A17EFE">
        <w:rPr>
          <w:rFonts w:ascii="Times New Roman" w:eastAsia="標楷體" w:hAnsi="Times New Roman" w:cs="Times New Roman"/>
          <w:spacing w:val="-5"/>
          <w:w w:val="95"/>
          <w:sz w:val="20"/>
        </w:rPr>
        <w:t>中華民國</w:t>
      </w:r>
      <w:r w:rsidRPr="00A17EFE">
        <w:rPr>
          <w:rFonts w:ascii="Times New Roman" w:eastAsia="標楷體" w:hAnsi="Times New Roman" w:cs="Times New Roman"/>
          <w:spacing w:val="-5"/>
          <w:w w:val="95"/>
          <w:sz w:val="20"/>
        </w:rPr>
        <w:t xml:space="preserve"> </w:t>
      </w:r>
      <w:r w:rsidRPr="00A17EFE">
        <w:rPr>
          <w:rFonts w:ascii="Times New Roman" w:eastAsia="標楷體" w:hAnsi="Times New Roman" w:cs="Times New Roman"/>
          <w:w w:val="95"/>
          <w:sz w:val="20"/>
        </w:rPr>
        <w:t>107</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spacing w:val="-16"/>
          <w:w w:val="95"/>
          <w:sz w:val="20"/>
        </w:rPr>
        <w:t>年</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w w:val="95"/>
          <w:sz w:val="20"/>
        </w:rPr>
        <w:t>9</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spacing w:val="-16"/>
          <w:w w:val="95"/>
          <w:sz w:val="20"/>
        </w:rPr>
        <w:t>月</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w w:val="95"/>
          <w:sz w:val="20"/>
        </w:rPr>
        <w:t>13</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spacing w:val="-16"/>
          <w:w w:val="95"/>
          <w:sz w:val="20"/>
        </w:rPr>
        <w:t>日</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w w:val="95"/>
          <w:sz w:val="20"/>
        </w:rPr>
        <w:t>107</w:t>
      </w:r>
      <w:r w:rsidRPr="00A17EFE">
        <w:rPr>
          <w:rFonts w:ascii="Times New Roman" w:eastAsia="標楷體" w:hAnsi="Times New Roman" w:cs="Times New Roman"/>
          <w:spacing w:val="-8"/>
          <w:w w:val="95"/>
          <w:sz w:val="20"/>
        </w:rPr>
        <w:t xml:space="preserve"> </w:t>
      </w:r>
      <w:r w:rsidRPr="00A17EFE">
        <w:rPr>
          <w:rFonts w:ascii="Times New Roman" w:eastAsia="標楷體" w:hAnsi="Times New Roman" w:cs="Times New Roman"/>
          <w:spacing w:val="-8"/>
          <w:w w:val="95"/>
          <w:sz w:val="20"/>
        </w:rPr>
        <w:t>學年度第</w:t>
      </w:r>
      <w:r w:rsidRPr="00A17EFE">
        <w:rPr>
          <w:rFonts w:ascii="Times New Roman" w:eastAsia="標楷體" w:hAnsi="Times New Roman" w:cs="Times New Roman"/>
          <w:spacing w:val="-8"/>
          <w:w w:val="95"/>
          <w:sz w:val="20"/>
        </w:rPr>
        <w:t xml:space="preserve"> </w:t>
      </w:r>
      <w:r w:rsidRPr="00A17EFE">
        <w:rPr>
          <w:rFonts w:ascii="Times New Roman" w:eastAsia="標楷體" w:hAnsi="Times New Roman" w:cs="Times New Roman"/>
          <w:w w:val="95"/>
          <w:sz w:val="20"/>
        </w:rPr>
        <w:t>1</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spacing w:val="-11"/>
          <w:w w:val="95"/>
          <w:sz w:val="20"/>
        </w:rPr>
        <w:t>學期第</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w w:val="95"/>
          <w:sz w:val="20"/>
        </w:rPr>
        <w:t>2</w:t>
      </w:r>
      <w:r w:rsidRPr="00A17EFE">
        <w:rPr>
          <w:rFonts w:ascii="Times New Roman" w:eastAsia="標楷體" w:hAnsi="Times New Roman" w:cs="Times New Roman"/>
          <w:spacing w:val="-5"/>
          <w:w w:val="95"/>
          <w:sz w:val="20"/>
        </w:rPr>
        <w:t xml:space="preserve"> </w:t>
      </w:r>
      <w:r w:rsidRPr="00A17EFE">
        <w:rPr>
          <w:rFonts w:ascii="Times New Roman" w:eastAsia="標楷體" w:hAnsi="Times New Roman" w:cs="Times New Roman"/>
          <w:spacing w:val="-5"/>
          <w:w w:val="95"/>
          <w:sz w:val="20"/>
        </w:rPr>
        <w:t>次行政會議通過</w:t>
      </w:r>
    </w:p>
    <w:p w:rsidR="00DD723B" w:rsidRPr="00A17EFE" w:rsidRDefault="00DD723B" w:rsidP="00DD723B">
      <w:pPr>
        <w:spacing w:before="144"/>
        <w:ind w:right="174"/>
        <w:jc w:val="right"/>
        <w:rPr>
          <w:rFonts w:ascii="Times New Roman" w:eastAsia="標楷體" w:hAnsi="Times New Roman" w:cs="Times New Roman"/>
          <w:sz w:val="20"/>
        </w:rPr>
      </w:pPr>
      <w:r w:rsidRPr="00A17EFE">
        <w:rPr>
          <w:rFonts w:ascii="Times New Roman" w:eastAsia="標楷體" w:hAnsi="Times New Roman" w:cs="Times New Roman"/>
          <w:spacing w:val="-3"/>
          <w:w w:val="95"/>
          <w:sz w:val="20"/>
        </w:rPr>
        <w:t>中華民國</w:t>
      </w:r>
      <w:r w:rsidRPr="00A17EFE">
        <w:rPr>
          <w:rFonts w:ascii="Times New Roman" w:eastAsia="標楷體" w:hAnsi="Times New Roman" w:cs="Times New Roman"/>
          <w:spacing w:val="-3"/>
          <w:w w:val="95"/>
          <w:sz w:val="20"/>
        </w:rPr>
        <w:t xml:space="preserve"> </w:t>
      </w:r>
      <w:r w:rsidRPr="00A17EFE">
        <w:rPr>
          <w:rFonts w:ascii="Times New Roman" w:eastAsia="標楷體" w:hAnsi="Times New Roman" w:cs="Times New Roman"/>
          <w:w w:val="95"/>
          <w:sz w:val="20"/>
        </w:rPr>
        <w:t>107</w:t>
      </w:r>
      <w:r w:rsidRPr="00A17EFE">
        <w:rPr>
          <w:rFonts w:ascii="Times New Roman" w:eastAsia="標楷體" w:hAnsi="Times New Roman" w:cs="Times New Roman"/>
          <w:spacing w:val="-12"/>
          <w:w w:val="95"/>
          <w:sz w:val="20"/>
        </w:rPr>
        <w:t xml:space="preserve"> </w:t>
      </w:r>
      <w:r w:rsidRPr="00A17EFE">
        <w:rPr>
          <w:rFonts w:ascii="Times New Roman" w:eastAsia="標楷體" w:hAnsi="Times New Roman" w:cs="Times New Roman"/>
          <w:spacing w:val="-12"/>
          <w:w w:val="95"/>
          <w:sz w:val="20"/>
        </w:rPr>
        <w:t>年</w:t>
      </w:r>
      <w:r w:rsidRPr="00A17EFE">
        <w:rPr>
          <w:rFonts w:ascii="Times New Roman" w:eastAsia="標楷體" w:hAnsi="Times New Roman" w:cs="Times New Roman"/>
          <w:spacing w:val="-12"/>
          <w:w w:val="95"/>
          <w:sz w:val="20"/>
        </w:rPr>
        <w:t xml:space="preserve"> </w:t>
      </w:r>
      <w:r w:rsidRPr="00A17EFE">
        <w:rPr>
          <w:rFonts w:ascii="Times New Roman" w:eastAsia="標楷體" w:hAnsi="Times New Roman" w:cs="Times New Roman"/>
          <w:w w:val="95"/>
          <w:sz w:val="20"/>
        </w:rPr>
        <w:t>9</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spacing w:val="-11"/>
          <w:w w:val="95"/>
          <w:sz w:val="20"/>
        </w:rPr>
        <w:t>月</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w w:val="95"/>
          <w:sz w:val="20"/>
        </w:rPr>
        <w:t>25</w:t>
      </w:r>
      <w:r w:rsidRPr="00A17EFE">
        <w:rPr>
          <w:rFonts w:ascii="Times New Roman" w:eastAsia="標楷體" w:hAnsi="Times New Roman" w:cs="Times New Roman"/>
          <w:spacing w:val="-7"/>
          <w:w w:val="95"/>
          <w:sz w:val="20"/>
        </w:rPr>
        <w:t xml:space="preserve"> </w:t>
      </w:r>
      <w:r w:rsidRPr="00A17EFE">
        <w:rPr>
          <w:rFonts w:ascii="Times New Roman" w:eastAsia="標楷體" w:hAnsi="Times New Roman" w:cs="Times New Roman"/>
          <w:spacing w:val="-7"/>
          <w:w w:val="95"/>
          <w:sz w:val="20"/>
        </w:rPr>
        <w:t>日海產育字第</w:t>
      </w:r>
      <w:r w:rsidRPr="00A17EFE">
        <w:rPr>
          <w:rFonts w:ascii="Times New Roman" w:eastAsia="標楷體" w:hAnsi="Times New Roman" w:cs="Times New Roman"/>
          <w:spacing w:val="-7"/>
          <w:w w:val="95"/>
          <w:sz w:val="20"/>
        </w:rPr>
        <w:t xml:space="preserve"> </w:t>
      </w:r>
      <w:r w:rsidRPr="00A17EFE">
        <w:rPr>
          <w:rFonts w:ascii="Times New Roman" w:eastAsia="標楷體" w:hAnsi="Times New Roman" w:cs="Times New Roman"/>
          <w:w w:val="95"/>
          <w:sz w:val="20"/>
        </w:rPr>
        <w:t>1070019317</w:t>
      </w:r>
      <w:r w:rsidRPr="00A17EFE">
        <w:rPr>
          <w:rFonts w:ascii="Times New Roman" w:eastAsia="標楷體" w:hAnsi="Times New Roman" w:cs="Times New Roman"/>
          <w:spacing w:val="-4"/>
          <w:w w:val="95"/>
          <w:sz w:val="20"/>
        </w:rPr>
        <w:t xml:space="preserve"> </w:t>
      </w:r>
      <w:r w:rsidRPr="00A17EFE">
        <w:rPr>
          <w:rFonts w:ascii="Times New Roman" w:eastAsia="標楷體" w:hAnsi="Times New Roman" w:cs="Times New Roman"/>
          <w:spacing w:val="-4"/>
          <w:w w:val="95"/>
          <w:sz w:val="20"/>
        </w:rPr>
        <w:t>號令發布</w:t>
      </w:r>
    </w:p>
    <w:p w:rsidR="00DD723B" w:rsidRPr="00A17EFE" w:rsidRDefault="00DD723B" w:rsidP="00DD723B">
      <w:pPr>
        <w:spacing w:before="82"/>
        <w:ind w:right="174"/>
        <w:jc w:val="right"/>
        <w:rPr>
          <w:rFonts w:ascii="Times New Roman" w:eastAsia="標楷體" w:hAnsi="Times New Roman" w:cs="Times New Roman"/>
          <w:sz w:val="20"/>
        </w:rPr>
      </w:pPr>
      <w:r w:rsidRPr="00A17EFE">
        <w:rPr>
          <w:rFonts w:ascii="Times New Roman" w:eastAsia="標楷體" w:hAnsi="Times New Roman" w:cs="Times New Roman"/>
          <w:spacing w:val="-4"/>
          <w:w w:val="95"/>
          <w:sz w:val="20"/>
        </w:rPr>
        <w:t>中華民國</w:t>
      </w:r>
      <w:r w:rsidRPr="00A17EFE">
        <w:rPr>
          <w:rFonts w:ascii="Times New Roman" w:eastAsia="標楷體" w:hAnsi="Times New Roman" w:cs="Times New Roman"/>
          <w:spacing w:val="-4"/>
          <w:w w:val="95"/>
          <w:sz w:val="20"/>
        </w:rPr>
        <w:t xml:space="preserve"> </w:t>
      </w:r>
      <w:r w:rsidRPr="00A17EFE">
        <w:rPr>
          <w:rFonts w:ascii="Times New Roman" w:eastAsia="標楷體" w:hAnsi="Times New Roman" w:cs="Times New Roman"/>
          <w:w w:val="95"/>
          <w:sz w:val="20"/>
        </w:rPr>
        <w:t>108</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spacing w:val="-16"/>
          <w:w w:val="95"/>
          <w:sz w:val="20"/>
        </w:rPr>
        <w:t>年</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w w:val="95"/>
          <w:sz w:val="20"/>
        </w:rPr>
        <w:t>4</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spacing w:val="-16"/>
          <w:w w:val="95"/>
          <w:sz w:val="20"/>
        </w:rPr>
        <w:t>月</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w w:val="95"/>
          <w:sz w:val="20"/>
        </w:rPr>
        <w:t>11</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spacing w:val="-16"/>
          <w:w w:val="95"/>
          <w:sz w:val="20"/>
        </w:rPr>
        <w:t>日</w:t>
      </w:r>
      <w:r w:rsidRPr="00A17EFE">
        <w:rPr>
          <w:rFonts w:ascii="Times New Roman" w:eastAsia="標楷體" w:hAnsi="Times New Roman" w:cs="Times New Roman"/>
          <w:spacing w:val="-16"/>
          <w:w w:val="95"/>
          <w:sz w:val="20"/>
        </w:rPr>
        <w:t xml:space="preserve"> </w:t>
      </w:r>
      <w:r w:rsidRPr="00A17EFE">
        <w:rPr>
          <w:rFonts w:ascii="Times New Roman" w:eastAsia="標楷體" w:hAnsi="Times New Roman" w:cs="Times New Roman"/>
          <w:w w:val="95"/>
          <w:sz w:val="20"/>
        </w:rPr>
        <w:t>107</w:t>
      </w:r>
      <w:r w:rsidRPr="00A17EFE">
        <w:rPr>
          <w:rFonts w:ascii="Times New Roman" w:eastAsia="標楷體" w:hAnsi="Times New Roman" w:cs="Times New Roman"/>
          <w:spacing w:val="-8"/>
          <w:w w:val="95"/>
          <w:sz w:val="20"/>
        </w:rPr>
        <w:t xml:space="preserve"> </w:t>
      </w:r>
      <w:r w:rsidRPr="00A17EFE">
        <w:rPr>
          <w:rFonts w:ascii="Times New Roman" w:eastAsia="標楷體" w:hAnsi="Times New Roman" w:cs="Times New Roman"/>
          <w:spacing w:val="-8"/>
          <w:w w:val="95"/>
          <w:sz w:val="20"/>
        </w:rPr>
        <w:t>學年度第</w:t>
      </w:r>
      <w:r w:rsidRPr="00A17EFE">
        <w:rPr>
          <w:rFonts w:ascii="Times New Roman" w:eastAsia="標楷體" w:hAnsi="Times New Roman" w:cs="Times New Roman"/>
          <w:spacing w:val="-8"/>
          <w:w w:val="95"/>
          <w:sz w:val="20"/>
        </w:rPr>
        <w:t xml:space="preserve"> </w:t>
      </w:r>
      <w:r w:rsidRPr="00A17EFE">
        <w:rPr>
          <w:rFonts w:ascii="Times New Roman" w:eastAsia="標楷體" w:hAnsi="Times New Roman" w:cs="Times New Roman"/>
          <w:w w:val="95"/>
          <w:sz w:val="20"/>
        </w:rPr>
        <w:t>2</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spacing w:val="-11"/>
          <w:w w:val="95"/>
          <w:sz w:val="20"/>
        </w:rPr>
        <w:t>學期第</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w w:val="95"/>
          <w:sz w:val="20"/>
        </w:rPr>
        <w:t>2</w:t>
      </w:r>
      <w:r w:rsidRPr="00A17EFE">
        <w:rPr>
          <w:rFonts w:ascii="Times New Roman" w:eastAsia="標楷體" w:hAnsi="Times New Roman" w:cs="Times New Roman"/>
          <w:spacing w:val="-5"/>
          <w:w w:val="95"/>
          <w:sz w:val="20"/>
        </w:rPr>
        <w:t xml:space="preserve"> </w:t>
      </w:r>
      <w:r w:rsidRPr="00A17EFE">
        <w:rPr>
          <w:rFonts w:ascii="Times New Roman" w:eastAsia="標楷體" w:hAnsi="Times New Roman" w:cs="Times New Roman"/>
          <w:spacing w:val="-5"/>
          <w:w w:val="95"/>
          <w:sz w:val="20"/>
        </w:rPr>
        <w:t>次行政會議修正通過</w:t>
      </w:r>
    </w:p>
    <w:p w:rsidR="00DD723B" w:rsidRPr="00A17EFE" w:rsidRDefault="00DD723B" w:rsidP="00DD723B">
      <w:pPr>
        <w:spacing w:before="126"/>
        <w:ind w:right="174"/>
        <w:jc w:val="right"/>
        <w:rPr>
          <w:rFonts w:ascii="Times New Roman" w:eastAsia="標楷體" w:hAnsi="Times New Roman" w:cs="Times New Roman"/>
          <w:sz w:val="20"/>
        </w:rPr>
      </w:pPr>
      <w:r w:rsidRPr="00A17EFE">
        <w:rPr>
          <w:rFonts w:ascii="Times New Roman" w:eastAsia="標楷體" w:hAnsi="Times New Roman" w:cs="Times New Roman"/>
          <w:spacing w:val="-3"/>
          <w:w w:val="95"/>
          <w:sz w:val="20"/>
        </w:rPr>
        <w:t>中華民國</w:t>
      </w:r>
      <w:r w:rsidRPr="00A17EFE">
        <w:rPr>
          <w:rFonts w:ascii="Times New Roman" w:eastAsia="標楷體" w:hAnsi="Times New Roman" w:cs="Times New Roman"/>
          <w:spacing w:val="-3"/>
          <w:w w:val="95"/>
          <w:sz w:val="20"/>
        </w:rPr>
        <w:t xml:space="preserve"> </w:t>
      </w:r>
      <w:r w:rsidRPr="00A17EFE">
        <w:rPr>
          <w:rFonts w:ascii="Times New Roman" w:eastAsia="標楷體" w:hAnsi="Times New Roman" w:cs="Times New Roman"/>
          <w:w w:val="95"/>
          <w:sz w:val="20"/>
        </w:rPr>
        <w:t>108</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spacing w:val="-11"/>
          <w:w w:val="95"/>
          <w:sz w:val="20"/>
        </w:rPr>
        <w:t>年</w:t>
      </w:r>
      <w:r w:rsidRPr="00A17EFE">
        <w:rPr>
          <w:rFonts w:ascii="Times New Roman" w:eastAsia="標楷體" w:hAnsi="Times New Roman" w:cs="Times New Roman"/>
          <w:spacing w:val="-11"/>
          <w:w w:val="95"/>
          <w:sz w:val="20"/>
        </w:rPr>
        <w:t xml:space="preserve"> </w:t>
      </w:r>
      <w:r w:rsidRPr="00A17EFE">
        <w:rPr>
          <w:rFonts w:ascii="Times New Roman" w:eastAsia="標楷體" w:hAnsi="Times New Roman" w:cs="Times New Roman"/>
          <w:w w:val="95"/>
          <w:sz w:val="20"/>
        </w:rPr>
        <w:t>5</w:t>
      </w:r>
      <w:r w:rsidRPr="00A17EFE">
        <w:rPr>
          <w:rFonts w:ascii="Times New Roman" w:eastAsia="標楷體" w:hAnsi="Times New Roman" w:cs="Times New Roman"/>
          <w:spacing w:val="-12"/>
          <w:w w:val="95"/>
          <w:sz w:val="20"/>
        </w:rPr>
        <w:t xml:space="preserve"> </w:t>
      </w:r>
      <w:r w:rsidRPr="00A17EFE">
        <w:rPr>
          <w:rFonts w:ascii="Times New Roman" w:eastAsia="標楷體" w:hAnsi="Times New Roman" w:cs="Times New Roman"/>
          <w:spacing w:val="-12"/>
          <w:w w:val="95"/>
          <w:sz w:val="20"/>
        </w:rPr>
        <w:t>月</w:t>
      </w:r>
      <w:r w:rsidRPr="00A17EFE">
        <w:rPr>
          <w:rFonts w:ascii="Times New Roman" w:eastAsia="標楷體" w:hAnsi="Times New Roman" w:cs="Times New Roman"/>
          <w:spacing w:val="-12"/>
          <w:w w:val="95"/>
          <w:sz w:val="20"/>
        </w:rPr>
        <w:t xml:space="preserve"> </w:t>
      </w:r>
      <w:r w:rsidRPr="00A17EFE">
        <w:rPr>
          <w:rFonts w:ascii="Times New Roman" w:eastAsia="標楷體" w:hAnsi="Times New Roman" w:cs="Times New Roman"/>
          <w:w w:val="95"/>
          <w:sz w:val="20"/>
        </w:rPr>
        <w:t>16</w:t>
      </w:r>
      <w:r w:rsidRPr="00A17EFE">
        <w:rPr>
          <w:rFonts w:ascii="Times New Roman" w:eastAsia="標楷體" w:hAnsi="Times New Roman" w:cs="Times New Roman"/>
          <w:spacing w:val="-6"/>
          <w:w w:val="95"/>
          <w:sz w:val="20"/>
        </w:rPr>
        <w:t xml:space="preserve"> </w:t>
      </w:r>
      <w:r w:rsidRPr="00A17EFE">
        <w:rPr>
          <w:rFonts w:ascii="Times New Roman" w:eastAsia="標楷體" w:hAnsi="Times New Roman" w:cs="Times New Roman"/>
          <w:spacing w:val="-6"/>
          <w:w w:val="95"/>
          <w:sz w:val="20"/>
        </w:rPr>
        <w:t>日海產育字第</w:t>
      </w:r>
      <w:r w:rsidRPr="00A17EFE">
        <w:rPr>
          <w:rFonts w:ascii="Times New Roman" w:eastAsia="標楷體" w:hAnsi="Times New Roman" w:cs="Times New Roman"/>
          <w:spacing w:val="-6"/>
          <w:w w:val="95"/>
          <w:sz w:val="20"/>
        </w:rPr>
        <w:t xml:space="preserve"> </w:t>
      </w:r>
      <w:r w:rsidRPr="00A17EFE">
        <w:rPr>
          <w:rFonts w:ascii="Times New Roman" w:eastAsia="標楷體" w:hAnsi="Times New Roman" w:cs="Times New Roman"/>
          <w:w w:val="95"/>
          <w:sz w:val="20"/>
        </w:rPr>
        <w:t>1080009347</w:t>
      </w:r>
      <w:r w:rsidRPr="00A17EFE">
        <w:rPr>
          <w:rFonts w:ascii="Times New Roman" w:eastAsia="標楷體" w:hAnsi="Times New Roman" w:cs="Times New Roman"/>
          <w:spacing w:val="-4"/>
          <w:w w:val="95"/>
          <w:sz w:val="20"/>
        </w:rPr>
        <w:t xml:space="preserve"> </w:t>
      </w:r>
      <w:r w:rsidRPr="00A17EFE">
        <w:rPr>
          <w:rFonts w:ascii="Times New Roman" w:eastAsia="標楷體" w:hAnsi="Times New Roman" w:cs="Times New Roman"/>
          <w:spacing w:val="-4"/>
          <w:w w:val="95"/>
          <w:sz w:val="20"/>
        </w:rPr>
        <w:t>號令發布</w:t>
      </w:r>
    </w:p>
    <w:p w:rsidR="00DD723B" w:rsidRPr="00A17EFE" w:rsidRDefault="00DD723B" w:rsidP="00DD723B">
      <w:pPr>
        <w:spacing w:before="82"/>
        <w:ind w:right="174"/>
        <w:jc w:val="right"/>
        <w:rPr>
          <w:rFonts w:ascii="Times New Roman" w:eastAsia="標楷體" w:hAnsi="Times New Roman" w:cs="Times New Roman"/>
          <w:color w:val="FF0000"/>
          <w:sz w:val="20"/>
        </w:rPr>
      </w:pPr>
      <w:r w:rsidRPr="00A17EFE">
        <w:rPr>
          <w:rFonts w:ascii="Times New Roman" w:eastAsia="標楷體" w:hAnsi="Times New Roman" w:cs="Times New Roman"/>
          <w:color w:val="FF0000"/>
          <w:spacing w:val="-4"/>
          <w:w w:val="95"/>
          <w:sz w:val="20"/>
        </w:rPr>
        <w:t>中華民國</w:t>
      </w:r>
      <w:r w:rsidRPr="00A17EFE">
        <w:rPr>
          <w:rFonts w:ascii="Times New Roman" w:eastAsia="標楷體" w:hAnsi="Times New Roman" w:cs="Times New Roman"/>
          <w:color w:val="FF0000"/>
          <w:spacing w:val="-4"/>
          <w:w w:val="95"/>
          <w:sz w:val="20"/>
        </w:rPr>
        <w:t xml:space="preserve"> </w:t>
      </w:r>
      <w:r w:rsidRPr="00A17EFE">
        <w:rPr>
          <w:rFonts w:ascii="Times New Roman" w:eastAsia="標楷體" w:hAnsi="Times New Roman" w:cs="Times New Roman"/>
          <w:color w:val="FF0000"/>
          <w:w w:val="95"/>
          <w:sz w:val="20"/>
        </w:rPr>
        <w:t>112</w:t>
      </w:r>
      <w:r w:rsidRPr="00A17EFE">
        <w:rPr>
          <w:rFonts w:ascii="Times New Roman" w:eastAsia="標楷體" w:hAnsi="Times New Roman" w:cs="Times New Roman"/>
          <w:color w:val="FF0000"/>
          <w:spacing w:val="-16"/>
          <w:w w:val="95"/>
          <w:sz w:val="20"/>
        </w:rPr>
        <w:t xml:space="preserve"> </w:t>
      </w:r>
      <w:r w:rsidRPr="00A17EFE">
        <w:rPr>
          <w:rFonts w:ascii="Times New Roman" w:eastAsia="標楷體" w:hAnsi="Times New Roman" w:cs="Times New Roman"/>
          <w:color w:val="FF0000"/>
          <w:spacing w:val="-16"/>
          <w:w w:val="95"/>
          <w:sz w:val="20"/>
        </w:rPr>
        <w:t>年</w:t>
      </w:r>
      <w:r w:rsidRPr="00A17EFE">
        <w:rPr>
          <w:rFonts w:ascii="Times New Roman" w:eastAsia="標楷體" w:hAnsi="Times New Roman" w:cs="Times New Roman"/>
          <w:color w:val="FF0000"/>
          <w:spacing w:val="-16"/>
          <w:w w:val="95"/>
          <w:sz w:val="20"/>
        </w:rPr>
        <w:t xml:space="preserve"> </w:t>
      </w:r>
      <w:r w:rsidRPr="00A17EFE">
        <w:rPr>
          <w:rFonts w:ascii="Times New Roman" w:eastAsia="標楷體" w:hAnsi="Times New Roman" w:cs="Times New Roman"/>
          <w:color w:val="FF0000"/>
          <w:w w:val="95"/>
          <w:sz w:val="20"/>
        </w:rPr>
        <w:t>12</w:t>
      </w:r>
      <w:r w:rsidRPr="00A17EFE">
        <w:rPr>
          <w:rFonts w:ascii="Times New Roman" w:eastAsia="標楷體" w:hAnsi="Times New Roman" w:cs="Times New Roman"/>
          <w:color w:val="FF0000"/>
          <w:spacing w:val="-16"/>
          <w:w w:val="95"/>
          <w:sz w:val="20"/>
        </w:rPr>
        <w:t xml:space="preserve"> </w:t>
      </w:r>
      <w:r w:rsidRPr="00A17EFE">
        <w:rPr>
          <w:rFonts w:ascii="Times New Roman" w:eastAsia="標楷體" w:hAnsi="Times New Roman" w:cs="Times New Roman"/>
          <w:color w:val="FF0000"/>
          <w:spacing w:val="-16"/>
          <w:w w:val="95"/>
          <w:sz w:val="20"/>
        </w:rPr>
        <w:t>月</w:t>
      </w:r>
      <w:r w:rsidRPr="00A17EFE">
        <w:rPr>
          <w:rFonts w:ascii="Times New Roman" w:eastAsia="標楷體" w:hAnsi="Times New Roman" w:cs="Times New Roman"/>
          <w:color w:val="FF0000"/>
          <w:spacing w:val="-16"/>
          <w:w w:val="95"/>
          <w:sz w:val="20"/>
        </w:rPr>
        <w:t xml:space="preserve"> </w:t>
      </w:r>
      <w:r w:rsidRPr="00A17EFE">
        <w:rPr>
          <w:rFonts w:ascii="Times New Roman" w:eastAsia="標楷體" w:hAnsi="Times New Roman" w:cs="Times New Roman"/>
          <w:color w:val="FF0000"/>
          <w:w w:val="95"/>
          <w:sz w:val="20"/>
        </w:rPr>
        <w:t>14</w:t>
      </w:r>
      <w:r w:rsidRPr="00A17EFE">
        <w:rPr>
          <w:rFonts w:ascii="Times New Roman" w:eastAsia="標楷體" w:hAnsi="Times New Roman" w:cs="Times New Roman"/>
          <w:color w:val="FF0000"/>
          <w:spacing w:val="-16"/>
          <w:w w:val="95"/>
          <w:sz w:val="20"/>
        </w:rPr>
        <w:t xml:space="preserve"> </w:t>
      </w:r>
      <w:r w:rsidRPr="00A17EFE">
        <w:rPr>
          <w:rFonts w:ascii="Times New Roman" w:eastAsia="標楷體" w:hAnsi="Times New Roman" w:cs="Times New Roman"/>
          <w:color w:val="FF0000"/>
          <w:spacing w:val="-16"/>
          <w:w w:val="95"/>
          <w:sz w:val="20"/>
        </w:rPr>
        <w:t>日</w:t>
      </w:r>
      <w:r w:rsidRPr="00A17EFE">
        <w:rPr>
          <w:rFonts w:ascii="Times New Roman" w:eastAsia="標楷體" w:hAnsi="Times New Roman" w:cs="Times New Roman"/>
          <w:color w:val="FF0000"/>
          <w:spacing w:val="-16"/>
          <w:w w:val="95"/>
          <w:sz w:val="20"/>
        </w:rPr>
        <w:t xml:space="preserve"> </w:t>
      </w:r>
      <w:r w:rsidRPr="00A17EFE">
        <w:rPr>
          <w:rFonts w:ascii="Times New Roman" w:eastAsia="標楷體" w:hAnsi="Times New Roman" w:cs="Times New Roman"/>
          <w:color w:val="FF0000"/>
          <w:w w:val="95"/>
          <w:sz w:val="20"/>
        </w:rPr>
        <w:t>112</w:t>
      </w:r>
      <w:r w:rsidRPr="00A17EFE">
        <w:rPr>
          <w:rFonts w:ascii="Times New Roman" w:eastAsia="標楷體" w:hAnsi="Times New Roman" w:cs="Times New Roman"/>
          <w:color w:val="FF0000"/>
          <w:spacing w:val="-8"/>
          <w:w w:val="95"/>
          <w:sz w:val="20"/>
        </w:rPr>
        <w:t xml:space="preserve"> </w:t>
      </w:r>
      <w:r w:rsidRPr="00A17EFE">
        <w:rPr>
          <w:rFonts w:ascii="Times New Roman" w:eastAsia="標楷體" w:hAnsi="Times New Roman" w:cs="Times New Roman"/>
          <w:color w:val="FF0000"/>
          <w:spacing w:val="-8"/>
          <w:w w:val="95"/>
          <w:sz w:val="20"/>
        </w:rPr>
        <w:t>學年度第</w:t>
      </w:r>
      <w:r w:rsidRPr="00A17EFE">
        <w:rPr>
          <w:rFonts w:ascii="Times New Roman" w:eastAsia="標楷體" w:hAnsi="Times New Roman" w:cs="Times New Roman"/>
          <w:color w:val="FF0000"/>
          <w:spacing w:val="-8"/>
          <w:w w:val="95"/>
          <w:sz w:val="20"/>
        </w:rPr>
        <w:t xml:space="preserve"> </w:t>
      </w:r>
      <w:r w:rsidRPr="00A17EFE">
        <w:rPr>
          <w:rFonts w:ascii="Times New Roman" w:eastAsia="標楷體" w:hAnsi="Times New Roman" w:cs="Times New Roman"/>
          <w:color w:val="FF0000"/>
          <w:w w:val="95"/>
          <w:sz w:val="20"/>
        </w:rPr>
        <w:t>1</w:t>
      </w:r>
      <w:r w:rsidRPr="00A17EFE">
        <w:rPr>
          <w:rFonts w:ascii="Times New Roman" w:eastAsia="標楷體" w:hAnsi="Times New Roman" w:cs="Times New Roman"/>
          <w:color w:val="FF0000"/>
          <w:spacing w:val="-11"/>
          <w:w w:val="95"/>
          <w:sz w:val="20"/>
        </w:rPr>
        <w:t xml:space="preserve"> </w:t>
      </w:r>
      <w:r w:rsidRPr="00A17EFE">
        <w:rPr>
          <w:rFonts w:ascii="Times New Roman" w:eastAsia="標楷體" w:hAnsi="Times New Roman" w:cs="Times New Roman"/>
          <w:color w:val="FF0000"/>
          <w:spacing w:val="-11"/>
          <w:w w:val="95"/>
          <w:sz w:val="20"/>
        </w:rPr>
        <w:t>學期第</w:t>
      </w:r>
      <w:r w:rsidRPr="00A17EFE">
        <w:rPr>
          <w:rFonts w:ascii="Times New Roman" w:eastAsia="標楷體" w:hAnsi="Times New Roman" w:cs="Times New Roman"/>
          <w:color w:val="FF0000"/>
          <w:spacing w:val="-11"/>
          <w:w w:val="95"/>
          <w:sz w:val="20"/>
        </w:rPr>
        <w:t xml:space="preserve"> </w:t>
      </w:r>
      <w:r w:rsidRPr="00A17EFE">
        <w:rPr>
          <w:rFonts w:ascii="Times New Roman" w:eastAsia="標楷體" w:hAnsi="Times New Roman" w:cs="Times New Roman"/>
          <w:color w:val="FF0000"/>
          <w:w w:val="95"/>
          <w:sz w:val="20"/>
        </w:rPr>
        <w:t>4</w:t>
      </w:r>
      <w:r w:rsidRPr="00A17EFE">
        <w:rPr>
          <w:rFonts w:ascii="Times New Roman" w:eastAsia="標楷體" w:hAnsi="Times New Roman" w:cs="Times New Roman"/>
          <w:color w:val="FF0000"/>
          <w:spacing w:val="-5"/>
          <w:w w:val="95"/>
          <w:sz w:val="20"/>
        </w:rPr>
        <w:t xml:space="preserve"> </w:t>
      </w:r>
      <w:r w:rsidRPr="00A17EFE">
        <w:rPr>
          <w:rFonts w:ascii="Times New Roman" w:eastAsia="標楷體" w:hAnsi="Times New Roman" w:cs="Times New Roman"/>
          <w:color w:val="FF0000"/>
          <w:spacing w:val="-5"/>
          <w:w w:val="95"/>
          <w:sz w:val="20"/>
        </w:rPr>
        <w:t>次行政會議修正通過</w:t>
      </w:r>
    </w:p>
    <w:p w:rsidR="00AA090B" w:rsidRPr="00A17EFE" w:rsidRDefault="00F13E96" w:rsidP="00F13E96">
      <w:pPr>
        <w:spacing w:before="126"/>
        <w:ind w:right="174"/>
        <w:jc w:val="right"/>
        <w:rPr>
          <w:rFonts w:ascii="Times New Roman" w:eastAsia="標楷體" w:hAnsi="Times New Roman" w:cs="Times New Roman"/>
          <w:color w:val="FF0000"/>
          <w:spacing w:val="-4"/>
          <w:w w:val="95"/>
          <w:sz w:val="20"/>
        </w:rPr>
      </w:pPr>
      <w:r w:rsidRPr="00A17EFE">
        <w:rPr>
          <w:rFonts w:ascii="Times New Roman" w:eastAsia="標楷體" w:hAnsi="Times New Roman" w:cs="Times New Roman"/>
          <w:color w:val="FF0000"/>
          <w:spacing w:val="-3"/>
          <w:w w:val="95"/>
          <w:sz w:val="20"/>
        </w:rPr>
        <w:t>中華民國</w:t>
      </w:r>
      <w:r w:rsidRPr="00A17EFE">
        <w:rPr>
          <w:rFonts w:ascii="Times New Roman" w:eastAsia="標楷體" w:hAnsi="Times New Roman" w:cs="Times New Roman"/>
          <w:color w:val="FF0000"/>
          <w:spacing w:val="-3"/>
          <w:w w:val="95"/>
          <w:sz w:val="20"/>
        </w:rPr>
        <w:t xml:space="preserve"> </w:t>
      </w:r>
      <w:r w:rsidRPr="00A17EFE">
        <w:rPr>
          <w:rFonts w:ascii="Times New Roman" w:eastAsia="標楷體" w:hAnsi="Times New Roman" w:cs="Times New Roman"/>
          <w:color w:val="FF0000"/>
          <w:w w:val="95"/>
          <w:sz w:val="20"/>
        </w:rPr>
        <w:t>113</w:t>
      </w:r>
      <w:r w:rsidRPr="00A17EFE">
        <w:rPr>
          <w:rFonts w:ascii="Times New Roman" w:eastAsia="標楷體" w:hAnsi="Times New Roman" w:cs="Times New Roman"/>
          <w:color w:val="FF0000"/>
          <w:spacing w:val="-11"/>
          <w:w w:val="95"/>
          <w:sz w:val="20"/>
        </w:rPr>
        <w:t xml:space="preserve"> </w:t>
      </w:r>
      <w:r w:rsidRPr="00A17EFE">
        <w:rPr>
          <w:rFonts w:ascii="Times New Roman" w:eastAsia="標楷體" w:hAnsi="Times New Roman" w:cs="Times New Roman"/>
          <w:color w:val="FF0000"/>
          <w:spacing w:val="-11"/>
          <w:w w:val="95"/>
          <w:sz w:val="20"/>
        </w:rPr>
        <w:t>年</w:t>
      </w:r>
      <w:r w:rsidRPr="00A17EFE">
        <w:rPr>
          <w:rFonts w:ascii="Times New Roman" w:eastAsia="標楷體" w:hAnsi="Times New Roman" w:cs="Times New Roman"/>
          <w:color w:val="FF0000"/>
          <w:spacing w:val="-11"/>
          <w:w w:val="95"/>
          <w:sz w:val="20"/>
        </w:rPr>
        <w:t xml:space="preserve"> 1</w:t>
      </w:r>
      <w:r w:rsidRPr="00A17EFE">
        <w:rPr>
          <w:rFonts w:ascii="Times New Roman" w:eastAsia="標楷體" w:hAnsi="Times New Roman" w:cs="Times New Roman"/>
          <w:color w:val="FF0000"/>
          <w:spacing w:val="-12"/>
          <w:w w:val="95"/>
          <w:sz w:val="20"/>
        </w:rPr>
        <w:t xml:space="preserve"> </w:t>
      </w:r>
      <w:r w:rsidRPr="00A17EFE">
        <w:rPr>
          <w:rFonts w:ascii="Times New Roman" w:eastAsia="標楷體" w:hAnsi="Times New Roman" w:cs="Times New Roman"/>
          <w:color w:val="FF0000"/>
          <w:spacing w:val="-12"/>
          <w:w w:val="95"/>
          <w:sz w:val="20"/>
        </w:rPr>
        <w:t>月</w:t>
      </w:r>
      <w:r w:rsidRPr="00A17EFE">
        <w:rPr>
          <w:rFonts w:ascii="Times New Roman" w:eastAsia="標楷體" w:hAnsi="Times New Roman" w:cs="Times New Roman"/>
          <w:color w:val="FF0000"/>
          <w:spacing w:val="-12"/>
          <w:w w:val="95"/>
          <w:sz w:val="20"/>
        </w:rPr>
        <w:t xml:space="preserve"> </w:t>
      </w:r>
      <w:r w:rsidR="00AE6DAD">
        <w:rPr>
          <w:rFonts w:ascii="Times New Roman" w:eastAsia="標楷體" w:hAnsi="Times New Roman" w:cs="Times New Roman" w:hint="eastAsia"/>
          <w:color w:val="FF0000"/>
          <w:spacing w:val="-12"/>
          <w:w w:val="95"/>
          <w:sz w:val="20"/>
        </w:rPr>
        <w:t>18</w:t>
      </w:r>
      <w:bookmarkStart w:id="0" w:name="_GoBack"/>
      <w:bookmarkEnd w:id="0"/>
      <w:r w:rsidRPr="00A17EFE">
        <w:rPr>
          <w:rFonts w:ascii="Times New Roman" w:eastAsia="標楷體" w:hAnsi="Times New Roman" w:cs="Times New Roman"/>
          <w:color w:val="FF0000"/>
          <w:spacing w:val="-6"/>
          <w:w w:val="95"/>
          <w:sz w:val="20"/>
        </w:rPr>
        <w:t xml:space="preserve"> </w:t>
      </w:r>
      <w:r w:rsidRPr="00A17EFE">
        <w:rPr>
          <w:rFonts w:ascii="Times New Roman" w:eastAsia="標楷體" w:hAnsi="Times New Roman" w:cs="Times New Roman"/>
          <w:color w:val="FF0000"/>
          <w:spacing w:val="-6"/>
          <w:w w:val="95"/>
          <w:sz w:val="20"/>
        </w:rPr>
        <w:t>日海產育字第</w:t>
      </w:r>
      <w:r w:rsidRPr="00A17EFE">
        <w:rPr>
          <w:rFonts w:ascii="Times New Roman" w:eastAsia="標楷體" w:hAnsi="Times New Roman" w:cs="Times New Roman"/>
          <w:color w:val="FF0000"/>
          <w:spacing w:val="-6"/>
          <w:w w:val="95"/>
          <w:sz w:val="20"/>
        </w:rPr>
        <w:t xml:space="preserve"> </w:t>
      </w:r>
      <w:r w:rsidRPr="00A17EFE">
        <w:rPr>
          <w:rFonts w:ascii="Times New Roman" w:eastAsia="標楷體" w:hAnsi="Times New Roman" w:cs="Times New Roman"/>
          <w:color w:val="FF0000"/>
          <w:w w:val="95"/>
          <w:sz w:val="20"/>
        </w:rPr>
        <w:t>1130000785</w:t>
      </w:r>
      <w:r w:rsidRPr="00A17EFE">
        <w:rPr>
          <w:rFonts w:ascii="Times New Roman" w:eastAsia="標楷體" w:hAnsi="Times New Roman" w:cs="Times New Roman"/>
          <w:color w:val="FF0000"/>
          <w:spacing w:val="-4"/>
          <w:w w:val="95"/>
          <w:sz w:val="20"/>
        </w:rPr>
        <w:t xml:space="preserve"> </w:t>
      </w:r>
      <w:r w:rsidRPr="00A17EFE">
        <w:rPr>
          <w:rFonts w:ascii="Times New Roman" w:eastAsia="標楷體" w:hAnsi="Times New Roman" w:cs="Times New Roman"/>
          <w:color w:val="FF0000"/>
          <w:spacing w:val="-4"/>
          <w:w w:val="95"/>
          <w:sz w:val="20"/>
        </w:rPr>
        <w:t>號令發布</w:t>
      </w:r>
    </w:p>
    <w:p w:rsidR="00F13E96" w:rsidRPr="00F13E96" w:rsidRDefault="00F13E96" w:rsidP="00F13E96">
      <w:pPr>
        <w:spacing w:before="126"/>
        <w:ind w:right="174"/>
        <w:jc w:val="right"/>
        <w:rPr>
          <w:rFonts w:ascii="標楷體" w:eastAsia="標楷體" w:hAnsi="標楷體"/>
          <w:sz w:val="20"/>
        </w:rPr>
      </w:pPr>
    </w:p>
    <w:p w:rsidR="00AA090B" w:rsidRPr="00026608" w:rsidRDefault="00AA090B" w:rsidP="00AA090B">
      <w:pPr>
        <w:pStyle w:val="a3"/>
        <w:spacing w:line="312" w:lineRule="auto"/>
        <w:ind w:left="598" w:right="174" w:hanging="480"/>
        <w:jc w:val="both"/>
        <w:rPr>
          <w:rFonts w:ascii="標楷體" w:eastAsia="標楷體" w:hAnsi="標楷體"/>
        </w:rPr>
      </w:pPr>
      <w:r w:rsidRPr="00026608">
        <w:rPr>
          <w:rFonts w:ascii="標楷體" w:eastAsia="標楷體" w:hAnsi="標楷體" w:hint="eastAsia"/>
          <w:spacing w:val="-2"/>
        </w:rPr>
        <w:t>一</w:t>
      </w:r>
      <w:r w:rsidRPr="00026608">
        <w:rPr>
          <w:rFonts w:ascii="標楷體" w:eastAsia="標楷體" w:hAnsi="標楷體"/>
          <w:spacing w:val="-2"/>
        </w:rPr>
        <w:t>、國立臺灣海洋大學(以下簡稱本校)為</w:t>
      </w:r>
      <w:r w:rsidRPr="00A17EFE">
        <w:rPr>
          <w:rFonts w:ascii="標楷體" w:eastAsia="標楷體" w:hAnsi="標楷體" w:hint="eastAsia"/>
          <w:color w:val="FF0000"/>
          <w:spacing w:val="-2"/>
          <w:u w:val="single"/>
        </w:rPr>
        <w:t>推動科研產業化平台計畫</w:t>
      </w:r>
      <w:r w:rsidRPr="00026608">
        <w:rPr>
          <w:rFonts w:ascii="標楷體" w:eastAsia="標楷體" w:hAnsi="標楷體"/>
          <w:spacing w:val="-2"/>
        </w:rPr>
        <w:t>(以下簡稱本計畫)</w:t>
      </w:r>
      <w:r w:rsidRPr="00026608">
        <w:rPr>
          <w:rFonts w:ascii="標楷體" w:eastAsia="標楷體" w:hAnsi="標楷體" w:hint="eastAsia"/>
          <w:spacing w:val="-2"/>
        </w:rPr>
        <w:t>相關業務，</w:t>
      </w:r>
      <w:r w:rsidRPr="00026608">
        <w:rPr>
          <w:rFonts w:ascii="標楷體" w:eastAsia="標楷體" w:hAnsi="標楷體"/>
        </w:rPr>
        <w:t>依據「</w:t>
      </w:r>
      <w:r w:rsidRPr="00A17EFE">
        <w:rPr>
          <w:rFonts w:ascii="標楷體" w:eastAsia="標楷體" w:hAnsi="標楷體" w:hint="eastAsia"/>
          <w:color w:val="FF0000"/>
          <w:u w:val="single"/>
        </w:rPr>
        <w:t>國家科學及技術委員會</w:t>
      </w:r>
      <w:r w:rsidRPr="00A17EFE">
        <w:rPr>
          <w:rFonts w:ascii="標楷體" w:eastAsia="標楷體" w:hAnsi="標楷體"/>
          <w:color w:val="FF0000"/>
          <w:u w:val="single"/>
        </w:rPr>
        <w:t>補助</w:t>
      </w:r>
      <w:r w:rsidRPr="00A17EFE">
        <w:rPr>
          <w:rFonts w:ascii="標楷體" w:eastAsia="標楷體" w:hAnsi="標楷體" w:hint="eastAsia"/>
          <w:color w:val="FF0000"/>
          <w:u w:val="single"/>
        </w:rPr>
        <w:t>科研產業化平台</w:t>
      </w:r>
      <w:r w:rsidRPr="00A17EFE">
        <w:rPr>
          <w:rFonts w:ascii="標楷體" w:eastAsia="標楷體" w:hAnsi="標楷體"/>
          <w:color w:val="FF0000"/>
          <w:u w:val="single"/>
        </w:rPr>
        <w:t>計畫作業要點」</w:t>
      </w:r>
      <w:r w:rsidRPr="00A17EFE">
        <w:rPr>
          <w:rFonts w:ascii="標楷體" w:eastAsia="標楷體" w:hAnsi="標楷體"/>
          <w:color w:val="FF0000"/>
          <w:spacing w:val="-2"/>
          <w:u w:val="single"/>
        </w:rPr>
        <w:t>，</w:t>
      </w:r>
      <w:r w:rsidRPr="00A17EFE">
        <w:rPr>
          <w:rFonts w:ascii="標楷體" w:eastAsia="標楷體" w:hAnsi="標楷體" w:hint="eastAsia"/>
          <w:color w:val="FF0000"/>
          <w:spacing w:val="-2"/>
          <w:u w:val="single"/>
        </w:rPr>
        <w:t>針對</w:t>
      </w:r>
      <w:r w:rsidRPr="00A17EFE">
        <w:rPr>
          <w:rFonts w:ascii="標楷體" w:eastAsia="標楷體" w:hAnsi="標楷體"/>
          <w:color w:val="FF0000"/>
          <w:spacing w:val="-2"/>
          <w:u w:val="single"/>
        </w:rPr>
        <w:t>計畫</w:t>
      </w:r>
      <w:r w:rsidRPr="00A17EFE">
        <w:rPr>
          <w:rFonts w:ascii="標楷體" w:eastAsia="標楷體" w:hAnsi="標楷體" w:hint="eastAsia"/>
          <w:color w:val="FF0000"/>
          <w:spacing w:val="-2"/>
          <w:u w:val="single"/>
        </w:rPr>
        <w:t>約聘</w:t>
      </w:r>
      <w:r w:rsidRPr="00A17EFE">
        <w:rPr>
          <w:rFonts w:ascii="標楷體" w:eastAsia="標楷體" w:hAnsi="標楷體"/>
          <w:color w:val="FF0000"/>
          <w:spacing w:val="-2"/>
          <w:u w:val="single"/>
        </w:rPr>
        <w:t>人員</w:t>
      </w:r>
      <w:r w:rsidRPr="00A17EFE">
        <w:rPr>
          <w:rFonts w:ascii="標楷體" w:eastAsia="標楷體" w:hAnsi="標楷體" w:hint="eastAsia"/>
          <w:color w:val="FF0000"/>
          <w:spacing w:val="-2"/>
          <w:u w:val="single"/>
        </w:rPr>
        <w:t>之</w:t>
      </w:r>
      <w:r w:rsidRPr="00A17EFE">
        <w:rPr>
          <w:rFonts w:ascii="標楷體" w:eastAsia="標楷體" w:hAnsi="標楷體"/>
          <w:color w:val="FF0000"/>
          <w:spacing w:val="-2"/>
          <w:u w:val="single"/>
        </w:rPr>
        <w:t>進用</w:t>
      </w:r>
      <w:r w:rsidRPr="00A17EFE">
        <w:rPr>
          <w:rFonts w:ascii="標楷體" w:eastAsia="標楷體" w:hAnsi="標楷體" w:hint="eastAsia"/>
          <w:color w:val="FF0000"/>
          <w:spacing w:val="-2"/>
          <w:u w:val="single"/>
        </w:rPr>
        <w:t>、</w:t>
      </w:r>
      <w:r w:rsidRPr="00A17EFE">
        <w:rPr>
          <w:rFonts w:ascii="標楷體" w:eastAsia="標楷體" w:hAnsi="標楷體"/>
          <w:color w:val="FF0000"/>
          <w:spacing w:val="-2"/>
          <w:u w:val="single"/>
        </w:rPr>
        <w:t>薪資</w:t>
      </w:r>
      <w:r w:rsidRPr="00A17EFE">
        <w:rPr>
          <w:rFonts w:ascii="標楷體" w:eastAsia="標楷體" w:hAnsi="標楷體" w:hint="eastAsia"/>
          <w:color w:val="FF0000"/>
          <w:spacing w:val="-2"/>
          <w:u w:val="single"/>
        </w:rPr>
        <w:t>、與獎金相關</w:t>
      </w:r>
      <w:r w:rsidRPr="00A17EFE">
        <w:rPr>
          <w:rFonts w:ascii="標楷體" w:eastAsia="標楷體" w:hAnsi="標楷體"/>
          <w:color w:val="FF0000"/>
          <w:spacing w:val="-2"/>
          <w:u w:val="single"/>
        </w:rPr>
        <w:t>事宜</w:t>
      </w:r>
      <w:r w:rsidRPr="00A17EFE">
        <w:rPr>
          <w:rFonts w:ascii="標楷體" w:eastAsia="標楷體" w:hAnsi="標楷體" w:hint="eastAsia"/>
          <w:color w:val="FF0000"/>
          <w:spacing w:val="-2"/>
          <w:u w:val="single"/>
        </w:rPr>
        <w:t>而訂定本要點</w:t>
      </w:r>
      <w:r w:rsidRPr="00A17EFE">
        <w:rPr>
          <w:rFonts w:ascii="標楷體" w:eastAsia="標楷體" w:hAnsi="標楷體"/>
          <w:color w:val="FF0000"/>
          <w:u w:val="single"/>
        </w:rPr>
        <w:t>。</w:t>
      </w:r>
    </w:p>
    <w:p w:rsidR="00AA090B" w:rsidRPr="00A17EFE" w:rsidRDefault="00AA090B" w:rsidP="00AA090B">
      <w:pPr>
        <w:pStyle w:val="a3"/>
        <w:spacing w:before="2" w:line="312" w:lineRule="auto"/>
        <w:ind w:left="598" w:right="173" w:hanging="480"/>
        <w:jc w:val="both"/>
        <w:rPr>
          <w:rFonts w:ascii="標楷體" w:eastAsia="標楷體" w:hAnsi="標楷體"/>
          <w:lang w:val="en-US"/>
        </w:rPr>
      </w:pPr>
      <w:r w:rsidRPr="00026608">
        <w:rPr>
          <w:rFonts w:ascii="標楷體" w:eastAsia="標楷體" w:hAnsi="標楷體"/>
          <w:spacing w:val="-19"/>
        </w:rPr>
        <w:t>二、</w:t>
      </w:r>
      <w:r w:rsidR="00A17EFE" w:rsidRPr="00A17EFE">
        <w:rPr>
          <w:rFonts w:ascii="標楷體" w:eastAsia="標楷體" w:hAnsi="標楷體"/>
          <w:color w:val="FF0000"/>
          <w:spacing w:val="-19"/>
          <w:u w:val="single"/>
        </w:rPr>
        <w:t>聘用之專任人員包括產業專家、研究法人借調或合聘人員、研究人員、經理、以及助理。</w:t>
      </w:r>
      <w:r w:rsidR="00A17EFE" w:rsidRPr="00A17EFE">
        <w:rPr>
          <w:rFonts w:ascii="標楷體" w:eastAsia="標楷體" w:hAnsi="標楷體"/>
          <w:spacing w:val="-19"/>
        </w:rPr>
        <w:t>專任人員以ㄧ年一聘為原則。</w:t>
      </w:r>
      <w:r w:rsidR="00A17EFE" w:rsidRPr="00A17EFE">
        <w:rPr>
          <w:rFonts w:ascii="標楷體" w:eastAsia="標楷體" w:hAnsi="標楷體"/>
          <w:color w:val="FF0000"/>
          <w:spacing w:val="-19"/>
          <w:u w:val="single"/>
        </w:rPr>
        <w:t>另可聘任兼任之研究人員、助理及臨時人員。</w:t>
      </w:r>
    </w:p>
    <w:p w:rsidR="00AA090B" w:rsidRPr="00026608" w:rsidRDefault="00AA090B" w:rsidP="00AA090B">
      <w:pPr>
        <w:pStyle w:val="a3"/>
        <w:spacing w:line="312" w:lineRule="auto"/>
        <w:ind w:right="14" w:hanging="425"/>
        <w:rPr>
          <w:rFonts w:ascii="標楷體" w:eastAsia="標楷體" w:hAnsi="標楷體"/>
          <w:spacing w:val="-1"/>
        </w:rPr>
      </w:pPr>
      <w:r w:rsidRPr="00026608">
        <w:rPr>
          <w:rFonts w:ascii="標楷體" w:eastAsia="標楷體" w:hAnsi="標楷體"/>
          <w:spacing w:val="-1"/>
        </w:rPr>
        <w:t>三、</w:t>
      </w:r>
      <w:r w:rsidRPr="00A17EFE">
        <w:rPr>
          <w:rFonts w:ascii="標楷體" w:eastAsia="標楷體" w:hAnsi="標楷體" w:hint="eastAsia"/>
          <w:color w:val="FF0000"/>
          <w:spacing w:val="-1"/>
          <w:u w:val="single"/>
        </w:rPr>
        <w:t>聘任人員之經費來源為自籌經費，包含科研產業化平台計畫以及由產學營運總中心執行之其他計畫與相關推動經費支應。</w:t>
      </w:r>
    </w:p>
    <w:p w:rsidR="00AA090B" w:rsidRPr="00A17EFE" w:rsidRDefault="00AA090B" w:rsidP="00AA090B">
      <w:pPr>
        <w:pStyle w:val="a3"/>
        <w:spacing w:line="312" w:lineRule="auto"/>
        <w:ind w:right="14" w:hanging="425"/>
        <w:rPr>
          <w:rFonts w:ascii="標楷體" w:eastAsia="標楷體" w:hAnsi="標楷體"/>
          <w:color w:val="FF0000"/>
          <w:spacing w:val="-1"/>
          <w:u w:val="single"/>
        </w:rPr>
      </w:pPr>
      <w:r w:rsidRPr="00026608">
        <w:rPr>
          <w:rFonts w:ascii="標楷體" w:eastAsia="標楷體" w:hAnsi="標楷體" w:hint="eastAsia"/>
          <w:spacing w:val="-1"/>
        </w:rPr>
        <w:t>四、</w:t>
      </w:r>
      <w:r w:rsidRPr="00A17EFE">
        <w:rPr>
          <w:rFonts w:ascii="標楷體" w:eastAsia="標楷體" w:hAnsi="標楷體" w:hint="eastAsia"/>
          <w:color w:val="FF0000"/>
          <w:spacing w:val="-1"/>
          <w:u w:val="single"/>
        </w:rPr>
        <w:t>各職位之專、兼任人員的聘任資格與敘薪標準，依照國科會補助專題研究計畫研究人力約用注意事項或國立臺灣海洋大學研究計畫約用人員管理要點之規定，但以下人員之敘薪</w:t>
      </w:r>
      <w:r w:rsidR="00A17EFE">
        <w:rPr>
          <w:rFonts w:ascii="標楷體" w:eastAsia="標楷體" w:hAnsi="標楷體" w:hint="eastAsia"/>
          <w:color w:val="FF0000"/>
          <w:spacing w:val="-1"/>
          <w:u w:val="single"/>
        </w:rPr>
        <w:t>不在此限</w:t>
      </w:r>
      <w:r w:rsidRPr="00A17EFE">
        <w:rPr>
          <w:rFonts w:ascii="標楷體" w:eastAsia="標楷體" w:hAnsi="標楷體" w:hint="eastAsia"/>
          <w:color w:val="FF0000"/>
          <w:spacing w:val="-1"/>
          <w:u w:val="single"/>
        </w:rPr>
        <w:t>：</w:t>
      </w:r>
    </w:p>
    <w:p w:rsidR="00AA090B" w:rsidRPr="000E3F30" w:rsidRDefault="00AA090B" w:rsidP="00AA090B">
      <w:pPr>
        <w:pStyle w:val="a3"/>
        <w:spacing w:line="312" w:lineRule="auto"/>
        <w:ind w:left="1134" w:right="14" w:hanging="567"/>
        <w:rPr>
          <w:rFonts w:ascii="標楷體" w:eastAsia="標楷體" w:hAnsi="標楷體"/>
          <w:color w:val="FF0000"/>
          <w:spacing w:val="-1"/>
          <w:u w:val="single"/>
        </w:rPr>
      </w:pPr>
      <w:r w:rsidRPr="000E3F30">
        <w:rPr>
          <w:rFonts w:ascii="標楷體" w:eastAsia="標楷體" w:hAnsi="標楷體"/>
          <w:color w:val="FF0000"/>
          <w:spacing w:val="-1"/>
          <w:u w:val="single"/>
        </w:rPr>
        <w:t>(</w:t>
      </w:r>
      <w:r w:rsidRPr="000E3F30">
        <w:rPr>
          <w:rFonts w:ascii="標楷體" w:eastAsia="標楷體" w:hAnsi="標楷體" w:hint="eastAsia"/>
          <w:color w:val="FF0000"/>
          <w:spacing w:val="-1"/>
          <w:u w:val="single"/>
        </w:rPr>
        <w:t>ㄧ</w:t>
      </w:r>
      <w:r w:rsidRPr="000E3F30">
        <w:rPr>
          <w:rFonts w:ascii="標楷體" w:eastAsia="標楷體" w:hAnsi="標楷體"/>
          <w:color w:val="FF0000"/>
          <w:spacing w:val="-1"/>
          <w:u w:val="single"/>
        </w:rPr>
        <w:t>)</w:t>
      </w:r>
      <w:r w:rsidR="000E3F30">
        <w:rPr>
          <w:rFonts w:ascii="標楷體" w:eastAsia="標楷體" w:hAnsi="標楷體" w:hint="eastAsia"/>
          <w:color w:val="FF0000"/>
          <w:spacing w:val="-1"/>
          <w:u w:val="single"/>
        </w:rPr>
        <w:t>研究法人人員借調或合聘至本中心並支薪者，其薪資待遇得依原單位所</w:t>
      </w:r>
      <w:r w:rsidRPr="000E3F30">
        <w:rPr>
          <w:rFonts w:ascii="標楷體" w:eastAsia="標楷體" w:hAnsi="標楷體" w:hint="eastAsia"/>
          <w:color w:val="FF0000"/>
          <w:spacing w:val="-1"/>
          <w:u w:val="single"/>
        </w:rPr>
        <w:t>定薪資基準辦理。</w:t>
      </w:r>
    </w:p>
    <w:p w:rsidR="00AA090B" w:rsidRPr="000E3F30" w:rsidRDefault="00AA090B" w:rsidP="00AA090B">
      <w:pPr>
        <w:pStyle w:val="a3"/>
        <w:spacing w:line="312" w:lineRule="auto"/>
        <w:ind w:left="1134" w:right="14" w:hanging="567"/>
        <w:rPr>
          <w:rFonts w:ascii="標楷體" w:eastAsia="標楷體" w:hAnsi="標楷體"/>
          <w:color w:val="FF0000"/>
          <w:u w:val="single"/>
        </w:rPr>
      </w:pPr>
      <w:r w:rsidRPr="000E3F30">
        <w:rPr>
          <w:rFonts w:ascii="標楷體" w:eastAsia="標楷體" w:hAnsi="標楷體"/>
          <w:color w:val="FF0000"/>
          <w:spacing w:val="-1"/>
          <w:u w:val="single"/>
        </w:rPr>
        <w:t>(</w:t>
      </w:r>
      <w:r w:rsidRPr="000E3F30">
        <w:rPr>
          <w:rFonts w:ascii="標楷體" w:eastAsia="標楷體" w:hAnsi="標楷體" w:hint="eastAsia"/>
          <w:color w:val="FF0000"/>
          <w:spacing w:val="-1"/>
          <w:u w:val="single"/>
        </w:rPr>
        <w:t>二</w:t>
      </w:r>
      <w:r w:rsidRPr="000E3F30">
        <w:rPr>
          <w:rFonts w:ascii="標楷體" w:eastAsia="標楷體" w:hAnsi="標楷體"/>
          <w:color w:val="FF0000"/>
          <w:spacing w:val="-1"/>
          <w:u w:val="single"/>
        </w:rPr>
        <w:t>)</w:t>
      </w:r>
      <w:r w:rsidRPr="000E3F30">
        <w:rPr>
          <w:rFonts w:ascii="標楷體" w:eastAsia="標楷體" w:hAnsi="標楷體" w:hint="eastAsia"/>
          <w:color w:val="FF0000"/>
          <w:spacing w:val="-1"/>
          <w:u w:val="single"/>
        </w:rPr>
        <w:t>計畫所需之業界專家，其薪資</w:t>
      </w:r>
      <w:r w:rsidRPr="000E3F30">
        <w:rPr>
          <w:rFonts w:ascii="標楷體" w:eastAsia="標楷體" w:hAnsi="標楷體"/>
          <w:color w:val="FF0000"/>
          <w:u w:val="single"/>
        </w:rPr>
        <w:t>待遇</w:t>
      </w:r>
      <w:r w:rsidRPr="000E3F30">
        <w:rPr>
          <w:rFonts w:ascii="標楷體" w:eastAsia="標楷體" w:hAnsi="標楷體" w:hint="eastAsia"/>
          <w:color w:val="FF0000"/>
          <w:u w:val="single"/>
        </w:rPr>
        <w:t>得</w:t>
      </w:r>
      <w:r w:rsidRPr="000E3F30">
        <w:rPr>
          <w:rFonts w:ascii="標楷體" w:eastAsia="標楷體" w:hAnsi="標楷體"/>
          <w:color w:val="FF0000"/>
          <w:u w:val="single"/>
        </w:rPr>
        <w:t>依其資歷、專長及能力，於面試會議</w:t>
      </w:r>
      <w:r w:rsidRPr="000E3F30">
        <w:rPr>
          <w:rFonts w:ascii="標楷體" w:eastAsia="標楷體" w:hAnsi="標楷體" w:hint="eastAsia"/>
          <w:color w:val="FF0000"/>
          <w:u w:val="single"/>
        </w:rPr>
        <w:t>議</w:t>
      </w:r>
      <w:r w:rsidRPr="000E3F30">
        <w:rPr>
          <w:rFonts w:ascii="標楷體" w:eastAsia="標楷體" w:hAnsi="標楷體"/>
          <w:color w:val="FF0000"/>
          <w:u w:val="single"/>
        </w:rPr>
        <w:t>定</w:t>
      </w:r>
      <w:r w:rsidRPr="000E3F30">
        <w:rPr>
          <w:rFonts w:ascii="標楷體" w:eastAsia="標楷體" w:hAnsi="標楷體" w:hint="eastAsia"/>
          <w:color w:val="FF0000"/>
          <w:u w:val="single"/>
        </w:rPr>
        <w:t>後，簽請校長同意，不受國立臺灣海洋大學計畫專任人員工作酬金參考表之限制。但若</w:t>
      </w:r>
      <w:r w:rsidRPr="000E3F30">
        <w:rPr>
          <w:rFonts w:ascii="標楷體" w:eastAsia="標楷體" w:hAnsi="標楷體"/>
          <w:color w:val="FF0000"/>
          <w:u w:val="single"/>
        </w:rPr>
        <w:t>薪資標準超過中央部會特任首長待遇範圍者，應就所需產業聯絡專家聘任程序及資格條件訂定相關規範機制，報請</w:t>
      </w:r>
      <w:r w:rsidRPr="000E3F30">
        <w:rPr>
          <w:rFonts w:ascii="標楷體" w:eastAsia="標楷體" w:hAnsi="標楷體" w:hint="eastAsia"/>
          <w:color w:val="FF0000"/>
          <w:u w:val="single"/>
        </w:rPr>
        <w:t>國科會</w:t>
      </w:r>
      <w:r w:rsidRPr="000E3F30">
        <w:rPr>
          <w:rFonts w:ascii="標楷體" w:eastAsia="標楷體" w:hAnsi="標楷體"/>
          <w:color w:val="FF0000"/>
          <w:u w:val="single"/>
        </w:rPr>
        <w:t>就其薪資基準轉報行政院核可</w:t>
      </w:r>
      <w:r w:rsidRPr="000E3F30">
        <w:rPr>
          <w:rFonts w:ascii="標楷體" w:eastAsia="標楷體" w:hAnsi="標楷體" w:hint="eastAsia"/>
          <w:color w:val="FF0000"/>
          <w:u w:val="single"/>
        </w:rPr>
        <w:t>。</w:t>
      </w:r>
    </w:p>
    <w:p w:rsidR="00AA090B" w:rsidRPr="00026608" w:rsidRDefault="00AA090B" w:rsidP="00AA090B">
      <w:pPr>
        <w:pStyle w:val="a3"/>
        <w:spacing w:before="39"/>
        <w:ind w:left="0"/>
        <w:rPr>
          <w:rFonts w:ascii="標楷體" w:eastAsia="標楷體" w:hAnsi="標楷體"/>
        </w:rPr>
      </w:pPr>
      <w:r w:rsidRPr="00026608">
        <w:rPr>
          <w:rFonts w:ascii="標楷體" w:eastAsia="標楷體" w:hAnsi="標楷體"/>
        </w:rPr>
        <w:t>五、績效考核：</w:t>
      </w:r>
    </w:p>
    <w:p w:rsidR="00AA090B" w:rsidRPr="00026608" w:rsidRDefault="00AA090B" w:rsidP="00AA090B">
      <w:pPr>
        <w:pStyle w:val="a3"/>
        <w:spacing w:before="91" w:line="312" w:lineRule="auto"/>
        <w:ind w:left="1023" w:right="179" w:hanging="480"/>
        <w:jc w:val="both"/>
        <w:rPr>
          <w:rFonts w:ascii="標楷體" w:eastAsia="標楷體" w:hAnsi="標楷體"/>
        </w:rPr>
      </w:pPr>
      <w:r w:rsidRPr="00026608">
        <w:rPr>
          <w:rFonts w:ascii="標楷體" w:eastAsia="標楷體" w:hAnsi="標楷體"/>
        </w:rPr>
        <w:t>(ㄧ)本計畫人員每年由</w:t>
      </w:r>
      <w:r w:rsidRPr="0031034E">
        <w:rPr>
          <w:rFonts w:ascii="標楷體" w:eastAsia="標楷體" w:hAnsi="標楷體" w:hint="eastAsia"/>
          <w:color w:val="FF0000"/>
          <w:u w:val="single"/>
        </w:rPr>
        <w:t>產學營運</w:t>
      </w:r>
      <w:r w:rsidRPr="0031034E">
        <w:rPr>
          <w:rFonts w:ascii="標楷體" w:eastAsia="標楷體" w:hAnsi="標楷體"/>
          <w:color w:val="FF0000"/>
          <w:u w:val="single"/>
        </w:rPr>
        <w:t>委員會</w:t>
      </w:r>
      <w:r w:rsidRPr="00026608">
        <w:rPr>
          <w:rFonts w:ascii="標楷體" w:eastAsia="標楷體" w:hAnsi="標楷體"/>
        </w:rPr>
        <w:t>依個人之績效報告與</w:t>
      </w:r>
      <w:r w:rsidRPr="00026608">
        <w:rPr>
          <w:rFonts w:ascii="標楷體" w:eastAsia="標楷體" w:hAnsi="標楷體" w:hint="eastAsia"/>
        </w:rPr>
        <w:t>產</w:t>
      </w:r>
      <w:r w:rsidRPr="0031034E">
        <w:rPr>
          <w:rFonts w:ascii="標楷體" w:eastAsia="標楷體" w:hAnsi="標楷體" w:hint="eastAsia"/>
          <w:color w:val="FF0000"/>
          <w:u w:val="single"/>
        </w:rPr>
        <w:t>學營運總中心主任</w:t>
      </w:r>
      <w:r w:rsidRPr="00026608">
        <w:rPr>
          <w:rFonts w:ascii="標楷體" w:eastAsia="標楷體" w:hAnsi="標楷體"/>
        </w:rPr>
        <w:t>對其之評核意見進行績效考核，以作為續約、晉薪、降薪、升級及降級之依據。</w:t>
      </w:r>
    </w:p>
    <w:p w:rsidR="00AA090B" w:rsidRPr="00026608" w:rsidRDefault="00AA090B" w:rsidP="00AA090B">
      <w:pPr>
        <w:pStyle w:val="a3"/>
        <w:spacing w:before="1"/>
        <w:rPr>
          <w:rFonts w:ascii="標楷體" w:eastAsia="標楷體" w:hAnsi="標楷體"/>
        </w:rPr>
      </w:pPr>
      <w:r w:rsidRPr="00026608">
        <w:rPr>
          <w:rFonts w:ascii="標楷體" w:eastAsia="標楷體" w:hAnsi="標楷體"/>
        </w:rPr>
        <w:t>(二)績效考核處理程序：</w:t>
      </w:r>
    </w:p>
    <w:p w:rsidR="00AA090B" w:rsidRPr="00026608" w:rsidRDefault="00AA090B" w:rsidP="00AA090B">
      <w:pPr>
        <w:pStyle w:val="a9"/>
        <w:numPr>
          <w:ilvl w:val="0"/>
          <w:numId w:val="5"/>
        </w:numPr>
        <w:tabs>
          <w:tab w:val="left" w:pos="1068"/>
        </w:tabs>
        <w:spacing w:before="93"/>
        <w:ind w:right="0" w:hanging="242"/>
        <w:rPr>
          <w:rFonts w:ascii="標楷體" w:eastAsia="標楷體" w:hAnsi="標楷體"/>
          <w:sz w:val="24"/>
        </w:rPr>
      </w:pPr>
      <w:r w:rsidRPr="00026608">
        <w:rPr>
          <w:rFonts w:ascii="標楷體" w:eastAsia="標楷體" w:hAnsi="標楷體"/>
          <w:sz w:val="24"/>
        </w:rPr>
        <w:t>績效考核以</w:t>
      </w:r>
      <w:r w:rsidRPr="00026608">
        <w:rPr>
          <w:rFonts w:ascii="標楷體" w:eastAsia="標楷體" w:hAnsi="標楷體" w:hint="eastAsia"/>
          <w:sz w:val="24"/>
        </w:rPr>
        <w:t>一</w:t>
      </w:r>
      <w:r w:rsidRPr="00026608">
        <w:rPr>
          <w:rFonts w:ascii="標楷體" w:eastAsia="標楷體" w:hAnsi="標楷體"/>
          <w:sz w:val="24"/>
        </w:rPr>
        <w:t>百分為滿分，以八十分為通過績效考核之標準。</w:t>
      </w:r>
    </w:p>
    <w:p w:rsidR="00AA090B" w:rsidRPr="00026608" w:rsidRDefault="00AA090B" w:rsidP="00AA090B">
      <w:pPr>
        <w:pStyle w:val="a9"/>
        <w:numPr>
          <w:ilvl w:val="0"/>
          <w:numId w:val="5"/>
        </w:numPr>
        <w:tabs>
          <w:tab w:val="left" w:pos="1068"/>
        </w:tabs>
        <w:spacing w:before="94"/>
        <w:ind w:right="0" w:hanging="242"/>
        <w:rPr>
          <w:rFonts w:ascii="標楷體" w:eastAsia="標楷體" w:hAnsi="標楷體"/>
          <w:sz w:val="24"/>
        </w:rPr>
      </w:pPr>
      <w:r w:rsidRPr="00026608">
        <w:rPr>
          <w:rFonts w:ascii="標楷體" w:eastAsia="標楷體" w:hAnsi="標楷體"/>
          <w:sz w:val="24"/>
        </w:rPr>
        <w:t>通過績效考核者續約並得調整薪資:</w:t>
      </w:r>
    </w:p>
    <w:p w:rsidR="00AA090B" w:rsidRPr="00026608" w:rsidRDefault="00AA090B" w:rsidP="00AA090B">
      <w:pPr>
        <w:pStyle w:val="a9"/>
        <w:numPr>
          <w:ilvl w:val="0"/>
          <w:numId w:val="4"/>
        </w:numPr>
        <w:tabs>
          <w:tab w:val="left" w:pos="1428"/>
        </w:tabs>
        <w:spacing w:before="90"/>
        <w:ind w:right="0" w:hanging="602"/>
        <w:rPr>
          <w:rFonts w:ascii="標楷體" w:eastAsia="標楷體" w:hAnsi="標楷體"/>
          <w:sz w:val="24"/>
        </w:rPr>
      </w:pPr>
      <w:r w:rsidRPr="00026608">
        <w:rPr>
          <w:rFonts w:ascii="標楷體" w:eastAsia="標楷體" w:hAnsi="標楷體"/>
          <w:sz w:val="24"/>
        </w:rPr>
        <w:t>產業專家之薪資調整由</w:t>
      </w:r>
      <w:r w:rsidRPr="00026608">
        <w:rPr>
          <w:rFonts w:ascii="標楷體" w:eastAsia="標楷體" w:hAnsi="標楷體" w:hint="eastAsia"/>
          <w:sz w:val="24"/>
          <w:szCs w:val="24"/>
        </w:rPr>
        <w:t>產學營運</w:t>
      </w:r>
      <w:r w:rsidRPr="00026608">
        <w:rPr>
          <w:rFonts w:ascii="標楷體" w:eastAsia="標楷體" w:hAnsi="標楷體"/>
          <w:sz w:val="24"/>
          <w:szCs w:val="24"/>
        </w:rPr>
        <w:t>委員</w:t>
      </w:r>
      <w:r w:rsidRPr="00026608">
        <w:rPr>
          <w:rFonts w:ascii="標楷體" w:eastAsia="標楷體" w:hAnsi="標楷體" w:hint="eastAsia"/>
          <w:sz w:val="24"/>
          <w:szCs w:val="24"/>
        </w:rPr>
        <w:t>會</w:t>
      </w:r>
      <w:r w:rsidRPr="00026608">
        <w:rPr>
          <w:rFonts w:ascii="標楷體" w:eastAsia="標楷體" w:hAnsi="標楷體"/>
          <w:sz w:val="24"/>
        </w:rPr>
        <w:t>依經費盈餘及其績效決議。</w:t>
      </w:r>
    </w:p>
    <w:p w:rsidR="00AA090B" w:rsidRPr="00026608" w:rsidRDefault="00AA090B" w:rsidP="00AA090B">
      <w:pPr>
        <w:pStyle w:val="a9"/>
        <w:numPr>
          <w:ilvl w:val="0"/>
          <w:numId w:val="4"/>
        </w:numPr>
        <w:tabs>
          <w:tab w:val="left" w:pos="1434"/>
        </w:tabs>
        <w:spacing w:before="94" w:line="312" w:lineRule="auto"/>
        <w:ind w:left="1426" w:right="172" w:hanging="600"/>
        <w:rPr>
          <w:rFonts w:ascii="標楷體" w:eastAsia="標楷體" w:hAnsi="標楷體"/>
          <w:sz w:val="24"/>
        </w:rPr>
      </w:pPr>
      <w:r w:rsidRPr="00026608">
        <w:rPr>
          <w:rFonts w:ascii="標楷體" w:eastAsia="標楷體" w:hAnsi="標楷體"/>
          <w:sz w:val="24"/>
        </w:rPr>
        <w:t>專任研究人員、專任助理之晉薪參照國立臺灣海洋大學計畫專任人員工作酬金參考表辦理。</w:t>
      </w:r>
    </w:p>
    <w:p w:rsidR="00AA090B" w:rsidRPr="00026608" w:rsidRDefault="00AA090B" w:rsidP="00AA090B">
      <w:pPr>
        <w:pStyle w:val="a9"/>
        <w:numPr>
          <w:ilvl w:val="0"/>
          <w:numId w:val="5"/>
        </w:numPr>
        <w:spacing w:line="312" w:lineRule="auto"/>
        <w:ind w:leftChars="387" w:left="1132" w:right="114" w:hangingChars="117" w:hanging="281"/>
        <w:rPr>
          <w:rFonts w:ascii="標楷體" w:eastAsia="標楷體" w:hAnsi="標楷體"/>
          <w:sz w:val="24"/>
        </w:rPr>
      </w:pPr>
      <w:r w:rsidRPr="00026608">
        <w:rPr>
          <w:rFonts w:ascii="標楷體" w:eastAsia="標楷體" w:hAnsi="標楷體"/>
          <w:sz w:val="24"/>
        </w:rPr>
        <w:t>未通過績效考核者，得降薪、降級或不予續約，依</w:t>
      </w:r>
      <w:r w:rsidRPr="00026608">
        <w:rPr>
          <w:rFonts w:ascii="標楷體" w:eastAsia="標楷體" w:hAnsi="標楷體" w:hint="eastAsia"/>
          <w:sz w:val="24"/>
          <w:szCs w:val="24"/>
        </w:rPr>
        <w:t>產學營運</w:t>
      </w:r>
      <w:r w:rsidRPr="00026608">
        <w:rPr>
          <w:rFonts w:ascii="標楷體" w:eastAsia="標楷體" w:hAnsi="標楷體"/>
          <w:sz w:val="24"/>
          <w:szCs w:val="24"/>
        </w:rPr>
        <w:t>委員</w:t>
      </w:r>
      <w:r w:rsidRPr="00026608">
        <w:rPr>
          <w:rFonts w:ascii="標楷體" w:eastAsia="標楷體" w:hAnsi="標楷體" w:hint="eastAsia"/>
          <w:sz w:val="24"/>
          <w:szCs w:val="24"/>
        </w:rPr>
        <w:t>會</w:t>
      </w:r>
      <w:r w:rsidRPr="00026608">
        <w:rPr>
          <w:rFonts w:ascii="標楷體" w:eastAsia="標楷體" w:hAnsi="標楷體"/>
          <w:sz w:val="24"/>
        </w:rPr>
        <w:t>審議結果辦理。</w:t>
      </w:r>
    </w:p>
    <w:p w:rsidR="00AA090B" w:rsidRPr="00026608" w:rsidRDefault="00AA090B" w:rsidP="00AA090B">
      <w:pPr>
        <w:pStyle w:val="a9"/>
        <w:tabs>
          <w:tab w:val="left" w:pos="1068"/>
        </w:tabs>
        <w:spacing w:line="312" w:lineRule="auto"/>
        <w:ind w:left="567" w:right="114" w:firstLine="0"/>
        <w:rPr>
          <w:rFonts w:ascii="標楷體" w:eastAsia="標楷體" w:hAnsi="標楷體"/>
          <w:spacing w:val="-8"/>
        </w:rPr>
      </w:pPr>
      <w:r w:rsidRPr="00026608">
        <w:rPr>
          <w:rFonts w:ascii="標楷體" w:eastAsia="標楷體" w:hAnsi="標楷體"/>
          <w:sz w:val="24"/>
        </w:rPr>
        <w:lastRenderedPageBreak/>
        <w:t>(三)</w:t>
      </w:r>
      <w:r w:rsidRPr="00026608">
        <w:rPr>
          <w:rFonts w:ascii="標楷體" w:eastAsia="標楷體" w:hAnsi="標楷體"/>
          <w:sz w:val="24"/>
          <w:szCs w:val="24"/>
        </w:rPr>
        <w:t>如有特殊優秀</w:t>
      </w:r>
      <w:r w:rsidRPr="00026608">
        <w:rPr>
          <w:rFonts w:ascii="標楷體" w:eastAsia="標楷體" w:hAnsi="標楷體" w:hint="eastAsia"/>
          <w:sz w:val="24"/>
          <w:szCs w:val="24"/>
        </w:rPr>
        <w:t>工作表現，且在計畫經費許可下，</w:t>
      </w:r>
      <w:r w:rsidRPr="00026608">
        <w:rPr>
          <w:rFonts w:ascii="標楷體" w:eastAsia="標楷體" w:hAnsi="標楷體"/>
          <w:sz w:val="24"/>
          <w:szCs w:val="24"/>
        </w:rPr>
        <w:t>得由</w:t>
      </w:r>
      <w:r w:rsidRPr="00026608">
        <w:rPr>
          <w:rFonts w:ascii="標楷體" w:eastAsia="標楷體" w:hAnsi="標楷體" w:hint="eastAsia"/>
          <w:sz w:val="24"/>
          <w:szCs w:val="24"/>
        </w:rPr>
        <w:t>中心主任</w:t>
      </w:r>
      <w:r w:rsidRPr="00026608">
        <w:rPr>
          <w:rFonts w:ascii="標楷體" w:eastAsia="標楷體" w:hAnsi="標楷體"/>
          <w:sz w:val="24"/>
          <w:szCs w:val="24"/>
        </w:rPr>
        <w:t>向</w:t>
      </w:r>
      <w:r w:rsidRPr="00026608">
        <w:rPr>
          <w:rFonts w:ascii="標楷體" w:eastAsia="標楷體" w:hAnsi="標楷體" w:hint="eastAsia"/>
          <w:sz w:val="24"/>
          <w:szCs w:val="24"/>
        </w:rPr>
        <w:t>產學營運</w:t>
      </w:r>
      <w:r w:rsidRPr="00026608">
        <w:rPr>
          <w:rFonts w:ascii="標楷體" w:eastAsia="標楷體" w:hAnsi="標楷體"/>
          <w:sz w:val="24"/>
          <w:szCs w:val="24"/>
        </w:rPr>
        <w:t>委員</w:t>
      </w:r>
      <w:r w:rsidRPr="00026608">
        <w:rPr>
          <w:rFonts w:ascii="標楷體" w:eastAsia="標楷體" w:hAnsi="標楷體" w:hint="eastAsia"/>
          <w:sz w:val="24"/>
          <w:szCs w:val="24"/>
        </w:rPr>
        <w:t>會</w:t>
      </w:r>
      <w:r w:rsidRPr="00026608">
        <w:rPr>
          <w:rFonts w:ascii="標楷體" w:eastAsia="標楷體" w:hAnsi="標楷體"/>
          <w:sz w:val="24"/>
          <w:szCs w:val="24"/>
        </w:rPr>
        <w:t>提出</w:t>
      </w:r>
      <w:r w:rsidRPr="00026608">
        <w:rPr>
          <w:rFonts w:ascii="標楷體" w:eastAsia="標楷體" w:hAnsi="標楷體" w:hint="eastAsia"/>
          <w:sz w:val="24"/>
          <w:szCs w:val="24"/>
        </w:rPr>
        <w:t>審議，予以晉薪多級，至多五級，並以一次為限。</w:t>
      </w:r>
    </w:p>
    <w:p w:rsidR="00AA090B" w:rsidRPr="00026608" w:rsidRDefault="00AA090B" w:rsidP="00AA090B">
      <w:pPr>
        <w:pStyle w:val="a3"/>
        <w:spacing w:before="92" w:line="312" w:lineRule="auto"/>
        <w:ind w:left="0" w:right="1816"/>
        <w:rPr>
          <w:rFonts w:ascii="標楷體" w:eastAsia="標楷體" w:hAnsi="標楷體"/>
        </w:rPr>
      </w:pPr>
      <w:r w:rsidRPr="00026608">
        <w:rPr>
          <w:rFonts w:ascii="標楷體" w:eastAsia="標楷體" w:hAnsi="標楷體"/>
        </w:rPr>
        <w:t>六、分紅獎勵制度：</w:t>
      </w:r>
    </w:p>
    <w:p w:rsidR="00AA090B" w:rsidRPr="00026608" w:rsidRDefault="00AA090B" w:rsidP="00AA090B">
      <w:pPr>
        <w:pStyle w:val="a3"/>
        <w:spacing w:before="2" w:line="312" w:lineRule="auto"/>
        <w:ind w:left="1023" w:right="179" w:hanging="480"/>
        <w:rPr>
          <w:rFonts w:ascii="標楷體" w:eastAsia="標楷體" w:hAnsi="標楷體"/>
        </w:rPr>
      </w:pPr>
      <w:r w:rsidRPr="00026608">
        <w:rPr>
          <w:rFonts w:ascii="標楷體" w:eastAsia="標楷體" w:hAnsi="標楷體"/>
        </w:rPr>
        <w:t>(ㄧ)工作績效需於每年提報</w:t>
      </w:r>
      <w:r w:rsidRPr="00026608">
        <w:rPr>
          <w:rFonts w:ascii="標楷體" w:eastAsia="標楷體" w:hAnsi="標楷體" w:hint="eastAsia"/>
        </w:rPr>
        <w:t>產學營運</w:t>
      </w:r>
      <w:r w:rsidRPr="00026608">
        <w:rPr>
          <w:rFonts w:ascii="標楷體" w:eastAsia="標楷體" w:hAnsi="標楷體"/>
        </w:rPr>
        <w:t>委員</w:t>
      </w:r>
      <w:r w:rsidRPr="00026608">
        <w:rPr>
          <w:rFonts w:ascii="標楷體" w:eastAsia="標楷體" w:hAnsi="標楷體" w:hint="eastAsia"/>
        </w:rPr>
        <w:t>會</w:t>
      </w:r>
      <w:r w:rsidRPr="00026608">
        <w:rPr>
          <w:rFonts w:ascii="標楷體" w:eastAsia="標楷體" w:hAnsi="標楷體"/>
        </w:rPr>
        <w:t>作為決定分紅獎勵發給之依據。營運績效確有盈餘時，始得提撥部分盈餘用於人員績效分紅獎勵。</w:t>
      </w:r>
    </w:p>
    <w:p w:rsidR="00AA090B" w:rsidRPr="00026608" w:rsidRDefault="00AA090B" w:rsidP="00AA090B">
      <w:pPr>
        <w:pStyle w:val="a3"/>
        <w:spacing w:line="312" w:lineRule="auto"/>
        <w:ind w:left="1023" w:right="180" w:hanging="480"/>
        <w:rPr>
          <w:rFonts w:ascii="標楷體" w:eastAsia="標楷體" w:hAnsi="標楷體"/>
        </w:rPr>
      </w:pPr>
      <w:r w:rsidRPr="00026608">
        <w:rPr>
          <w:rFonts w:ascii="標楷體" w:eastAsia="標楷體" w:hAnsi="標楷體"/>
          <w:spacing w:val="-1"/>
        </w:rPr>
        <w:t>(二)當年度收入結算超過當年度訂定之執行績效新臺幣一</w:t>
      </w:r>
      <w:r w:rsidRPr="0031034E">
        <w:rPr>
          <w:rFonts w:ascii="標楷體" w:eastAsia="標楷體" w:hAnsi="標楷體" w:hint="eastAsia"/>
          <w:color w:val="FF0000"/>
          <w:spacing w:val="-1"/>
          <w:u w:val="single"/>
        </w:rPr>
        <w:t>仟</w:t>
      </w:r>
      <w:r w:rsidRPr="00026608">
        <w:rPr>
          <w:rFonts w:ascii="標楷體" w:eastAsia="標楷體" w:hAnsi="標楷體"/>
          <w:spacing w:val="-1"/>
        </w:rPr>
        <w:t>萬元以上，始得發給分</w:t>
      </w:r>
      <w:r w:rsidRPr="00026608">
        <w:rPr>
          <w:rFonts w:ascii="標楷體" w:eastAsia="標楷體" w:hAnsi="標楷體"/>
        </w:rPr>
        <w:t>紅獎勵。其提撥比率如下：</w:t>
      </w:r>
    </w:p>
    <w:p w:rsidR="00AA090B" w:rsidRPr="00026608" w:rsidRDefault="00AA090B" w:rsidP="00AA090B">
      <w:pPr>
        <w:pStyle w:val="a9"/>
        <w:numPr>
          <w:ilvl w:val="0"/>
          <w:numId w:val="3"/>
        </w:numPr>
        <w:tabs>
          <w:tab w:val="left" w:pos="1068"/>
        </w:tabs>
        <w:spacing w:line="312" w:lineRule="auto"/>
        <w:ind w:right="175" w:hanging="240"/>
        <w:rPr>
          <w:rFonts w:ascii="標楷體" w:eastAsia="標楷體" w:hAnsi="標楷體"/>
          <w:sz w:val="24"/>
        </w:rPr>
      </w:pPr>
      <w:r w:rsidRPr="00026608">
        <w:rPr>
          <w:rFonts w:ascii="標楷體" w:eastAsia="標楷體" w:hAnsi="標楷體"/>
          <w:spacing w:val="-2"/>
          <w:sz w:val="24"/>
        </w:rPr>
        <w:t>收入結算超過當年度訂定之執行績效新臺幣一</w:t>
      </w:r>
      <w:r w:rsidRPr="0031034E">
        <w:rPr>
          <w:rFonts w:ascii="標楷體" w:eastAsia="標楷體" w:hAnsi="標楷體" w:hint="eastAsia"/>
          <w:color w:val="FF0000"/>
          <w:spacing w:val="-2"/>
          <w:sz w:val="24"/>
          <w:u w:val="single"/>
        </w:rPr>
        <w:t>仟</w:t>
      </w:r>
      <w:r w:rsidRPr="00026608">
        <w:rPr>
          <w:rFonts w:ascii="標楷體" w:eastAsia="標楷體" w:hAnsi="標楷體"/>
          <w:spacing w:val="-2"/>
          <w:sz w:val="24"/>
        </w:rPr>
        <w:t>萬元以上者，扣除新臺幣</w:t>
      </w:r>
      <w:r w:rsidRPr="00026608">
        <w:rPr>
          <w:rFonts w:ascii="標楷體" w:eastAsia="標楷體" w:hAnsi="標楷體" w:hint="eastAsia"/>
          <w:spacing w:val="-2"/>
          <w:sz w:val="24"/>
        </w:rPr>
        <w:t>五</w:t>
      </w:r>
      <w:r w:rsidRPr="0031034E">
        <w:rPr>
          <w:rFonts w:ascii="標楷體" w:eastAsia="標楷體" w:hAnsi="標楷體" w:hint="eastAsia"/>
          <w:color w:val="FF0000"/>
          <w:spacing w:val="-2"/>
          <w:sz w:val="24"/>
          <w:u w:val="single"/>
        </w:rPr>
        <w:t>佰</w:t>
      </w:r>
      <w:r w:rsidRPr="00026608">
        <w:rPr>
          <w:rFonts w:ascii="標楷體" w:eastAsia="標楷體" w:hAnsi="標楷體"/>
          <w:sz w:val="24"/>
        </w:rPr>
        <w:t>萬元後，提撥百分之五作為分紅獎勵金。</w:t>
      </w:r>
    </w:p>
    <w:p w:rsidR="00AA090B" w:rsidRPr="00026608" w:rsidRDefault="00AA090B" w:rsidP="00AA090B">
      <w:pPr>
        <w:pStyle w:val="a9"/>
        <w:numPr>
          <w:ilvl w:val="0"/>
          <w:numId w:val="3"/>
        </w:numPr>
        <w:tabs>
          <w:tab w:val="left" w:pos="1068"/>
        </w:tabs>
        <w:spacing w:before="2" w:line="312" w:lineRule="auto"/>
        <w:ind w:right="175" w:hanging="240"/>
        <w:rPr>
          <w:rFonts w:ascii="標楷體" w:eastAsia="標楷體" w:hAnsi="標楷體"/>
          <w:sz w:val="24"/>
        </w:rPr>
      </w:pPr>
      <w:r w:rsidRPr="00026608">
        <w:rPr>
          <w:rFonts w:ascii="標楷體" w:eastAsia="標楷體" w:hAnsi="標楷體"/>
          <w:spacing w:val="-2"/>
          <w:sz w:val="24"/>
        </w:rPr>
        <w:t>收入結算超過當年度訂定之執行績效新臺幣一</w:t>
      </w:r>
      <w:r w:rsidRPr="0031034E">
        <w:rPr>
          <w:rFonts w:ascii="標楷體" w:eastAsia="標楷體" w:hAnsi="標楷體" w:hint="eastAsia"/>
          <w:color w:val="FF0000"/>
          <w:spacing w:val="-2"/>
          <w:sz w:val="24"/>
          <w:u w:val="single"/>
        </w:rPr>
        <w:t>仟</w:t>
      </w:r>
      <w:r w:rsidRPr="00026608">
        <w:rPr>
          <w:rFonts w:ascii="標楷體" w:eastAsia="標楷體" w:hAnsi="標楷體"/>
          <w:spacing w:val="-2"/>
          <w:sz w:val="24"/>
        </w:rPr>
        <w:t>五</w:t>
      </w:r>
      <w:r w:rsidRPr="0031034E">
        <w:rPr>
          <w:rFonts w:ascii="標楷體" w:eastAsia="標楷體" w:hAnsi="標楷體" w:hint="eastAsia"/>
          <w:color w:val="FF0000"/>
          <w:spacing w:val="-2"/>
          <w:sz w:val="24"/>
          <w:u w:val="single"/>
        </w:rPr>
        <w:t>佰</w:t>
      </w:r>
      <w:r w:rsidRPr="00026608">
        <w:rPr>
          <w:rFonts w:ascii="標楷體" w:eastAsia="標楷體" w:hAnsi="標楷體"/>
          <w:spacing w:val="-2"/>
          <w:sz w:val="24"/>
        </w:rPr>
        <w:t>萬元以上者，扣除新臺幣</w:t>
      </w:r>
      <w:r w:rsidRPr="00026608">
        <w:rPr>
          <w:rFonts w:ascii="標楷體" w:eastAsia="標楷體" w:hAnsi="標楷體"/>
          <w:sz w:val="24"/>
        </w:rPr>
        <w:t>五</w:t>
      </w:r>
      <w:r w:rsidRPr="00026608">
        <w:rPr>
          <w:rFonts w:ascii="標楷體" w:eastAsia="標楷體" w:hAnsi="標楷體" w:hint="eastAsia"/>
          <w:sz w:val="24"/>
        </w:rPr>
        <w:t>佰</w:t>
      </w:r>
      <w:r w:rsidRPr="00026608">
        <w:rPr>
          <w:rFonts w:ascii="標楷體" w:eastAsia="標楷體" w:hAnsi="標楷體"/>
          <w:sz w:val="24"/>
        </w:rPr>
        <w:t>萬元後，提撥百分之六作為分紅獎勵金。</w:t>
      </w:r>
    </w:p>
    <w:p w:rsidR="00AA090B" w:rsidRPr="00026608" w:rsidRDefault="00AA090B" w:rsidP="00AA090B">
      <w:pPr>
        <w:pStyle w:val="a3"/>
        <w:spacing w:line="312" w:lineRule="auto"/>
        <w:ind w:left="118" w:right="298" w:firstLine="424"/>
        <w:rPr>
          <w:rFonts w:ascii="標楷體" w:eastAsia="標楷體" w:hAnsi="標楷體"/>
        </w:rPr>
      </w:pPr>
      <w:r w:rsidRPr="00026608">
        <w:rPr>
          <w:rFonts w:ascii="標楷體" w:eastAsia="標楷體" w:hAnsi="標楷體"/>
        </w:rPr>
        <w:t>(三)分紅獎勵金之分配比率，由</w:t>
      </w:r>
      <w:r w:rsidRPr="00026608">
        <w:rPr>
          <w:rFonts w:ascii="標楷體" w:eastAsia="標楷體" w:hAnsi="標楷體" w:hint="eastAsia"/>
        </w:rPr>
        <w:t>產學營運</w:t>
      </w:r>
      <w:r w:rsidRPr="00026608">
        <w:rPr>
          <w:rFonts w:ascii="標楷體" w:eastAsia="標楷體" w:hAnsi="標楷體"/>
        </w:rPr>
        <w:t>委員</w:t>
      </w:r>
      <w:r w:rsidRPr="00026608">
        <w:rPr>
          <w:rFonts w:ascii="標楷體" w:eastAsia="標楷體" w:hAnsi="標楷體" w:hint="eastAsia"/>
        </w:rPr>
        <w:t>會</w:t>
      </w:r>
      <w:r w:rsidRPr="00026608">
        <w:rPr>
          <w:rFonts w:ascii="標楷體" w:eastAsia="標楷體" w:hAnsi="標楷體"/>
        </w:rPr>
        <w:t>依人員貢獻度之比例審議分配。</w:t>
      </w:r>
    </w:p>
    <w:p w:rsidR="00AA090B" w:rsidRPr="00026608" w:rsidRDefault="00AA090B" w:rsidP="00AA090B">
      <w:pPr>
        <w:pStyle w:val="a3"/>
        <w:spacing w:line="312" w:lineRule="auto"/>
        <w:ind w:left="118" w:right="899" w:hanging="118"/>
        <w:rPr>
          <w:rFonts w:ascii="標楷體" w:eastAsia="標楷體" w:hAnsi="標楷體"/>
        </w:rPr>
      </w:pPr>
      <w:r w:rsidRPr="00026608">
        <w:rPr>
          <w:rFonts w:ascii="標楷體" w:eastAsia="標楷體" w:hAnsi="標楷體"/>
        </w:rPr>
        <w:t>七、解約條件：</w:t>
      </w:r>
    </w:p>
    <w:p w:rsidR="00AA090B" w:rsidRPr="00026608" w:rsidRDefault="00AA090B" w:rsidP="00AA090B">
      <w:pPr>
        <w:pStyle w:val="a3"/>
        <w:spacing w:line="307" w:lineRule="exact"/>
        <w:rPr>
          <w:rFonts w:ascii="標楷體" w:eastAsia="標楷體" w:hAnsi="標楷體"/>
        </w:rPr>
      </w:pPr>
      <w:r w:rsidRPr="00026608">
        <w:rPr>
          <w:rFonts w:ascii="標楷體" w:eastAsia="標楷體" w:hAnsi="標楷體"/>
        </w:rPr>
        <w:t>(ㄧ)年終不續約：</w:t>
      </w:r>
    </w:p>
    <w:p w:rsidR="00AA090B" w:rsidRPr="00026608" w:rsidRDefault="00AA090B" w:rsidP="00AA090B">
      <w:pPr>
        <w:pStyle w:val="a9"/>
        <w:numPr>
          <w:ilvl w:val="0"/>
          <w:numId w:val="2"/>
        </w:numPr>
        <w:tabs>
          <w:tab w:val="left" w:pos="1068"/>
        </w:tabs>
        <w:spacing w:before="93"/>
        <w:ind w:right="0" w:hanging="242"/>
        <w:rPr>
          <w:rFonts w:ascii="標楷體" w:eastAsia="標楷體" w:hAnsi="標楷體"/>
          <w:sz w:val="24"/>
        </w:rPr>
      </w:pPr>
      <w:r w:rsidRPr="00026608">
        <w:rPr>
          <w:rFonts w:ascii="標楷體" w:eastAsia="標楷體" w:hAnsi="標楷體"/>
          <w:sz w:val="24"/>
        </w:rPr>
        <w:t>未通過績效考核，經</w:t>
      </w:r>
      <w:r w:rsidRPr="00026608">
        <w:rPr>
          <w:rFonts w:ascii="標楷體" w:eastAsia="標楷體" w:hAnsi="標楷體" w:hint="eastAsia"/>
          <w:sz w:val="24"/>
          <w:szCs w:val="24"/>
        </w:rPr>
        <w:t>產學營運</w:t>
      </w:r>
      <w:r w:rsidRPr="00026608">
        <w:rPr>
          <w:rFonts w:ascii="標楷體" w:eastAsia="標楷體" w:hAnsi="標楷體"/>
          <w:sz w:val="24"/>
          <w:szCs w:val="24"/>
        </w:rPr>
        <w:t>委員</w:t>
      </w:r>
      <w:r w:rsidRPr="00026608">
        <w:rPr>
          <w:rFonts w:ascii="標楷體" w:eastAsia="標楷體" w:hAnsi="標楷體" w:hint="eastAsia"/>
          <w:sz w:val="24"/>
          <w:szCs w:val="24"/>
        </w:rPr>
        <w:t>會</w:t>
      </w:r>
      <w:r w:rsidRPr="00026608">
        <w:rPr>
          <w:rFonts w:ascii="標楷體" w:eastAsia="標楷體" w:hAnsi="標楷體"/>
          <w:sz w:val="24"/>
        </w:rPr>
        <w:t>審議不予續約者。</w:t>
      </w:r>
    </w:p>
    <w:p w:rsidR="00AA090B" w:rsidRPr="00026608" w:rsidRDefault="00AA090B" w:rsidP="00AA090B">
      <w:pPr>
        <w:pStyle w:val="a9"/>
        <w:numPr>
          <w:ilvl w:val="0"/>
          <w:numId w:val="2"/>
        </w:numPr>
        <w:tabs>
          <w:tab w:val="left" w:pos="1068"/>
        </w:tabs>
        <w:spacing w:before="93"/>
        <w:ind w:right="0" w:hanging="242"/>
        <w:rPr>
          <w:rFonts w:ascii="標楷體" w:eastAsia="標楷體" w:hAnsi="標楷體"/>
          <w:sz w:val="24"/>
        </w:rPr>
      </w:pPr>
      <w:r w:rsidRPr="00026608">
        <w:rPr>
          <w:rFonts w:ascii="標楷體" w:eastAsia="標楷體" w:hAnsi="標楷體"/>
          <w:sz w:val="24"/>
        </w:rPr>
        <w:t>業務過失或怠忽職務。</w:t>
      </w:r>
    </w:p>
    <w:p w:rsidR="00AA090B" w:rsidRPr="00026608" w:rsidRDefault="00AA090B" w:rsidP="00AA090B">
      <w:pPr>
        <w:pStyle w:val="a9"/>
        <w:numPr>
          <w:ilvl w:val="0"/>
          <w:numId w:val="2"/>
        </w:numPr>
        <w:tabs>
          <w:tab w:val="left" w:pos="1068"/>
        </w:tabs>
        <w:spacing w:before="91" w:line="312" w:lineRule="auto"/>
        <w:ind w:left="543" w:right="5657" w:firstLine="283"/>
        <w:rPr>
          <w:rFonts w:ascii="標楷體" w:eastAsia="標楷體" w:hAnsi="標楷體"/>
          <w:sz w:val="24"/>
        </w:rPr>
      </w:pPr>
      <w:r w:rsidRPr="00026608">
        <w:rPr>
          <w:rFonts w:ascii="標楷體" w:eastAsia="標楷體" w:hAnsi="標楷體"/>
          <w:spacing w:val="-1"/>
          <w:sz w:val="24"/>
        </w:rPr>
        <w:t>不服從上級命令及指揮。</w:t>
      </w:r>
      <w:r w:rsidRPr="00026608">
        <w:rPr>
          <w:rFonts w:ascii="標楷體" w:eastAsia="標楷體" w:hAnsi="標楷體"/>
          <w:sz w:val="24"/>
        </w:rPr>
        <w:t>(二)年中解約：</w:t>
      </w:r>
    </w:p>
    <w:p w:rsidR="00AA090B" w:rsidRPr="00026608" w:rsidRDefault="00AA090B" w:rsidP="00AA090B">
      <w:pPr>
        <w:pStyle w:val="a9"/>
        <w:numPr>
          <w:ilvl w:val="0"/>
          <w:numId w:val="1"/>
        </w:numPr>
        <w:tabs>
          <w:tab w:val="left" w:pos="1068"/>
        </w:tabs>
        <w:spacing w:before="3"/>
        <w:ind w:right="0" w:hanging="242"/>
        <w:rPr>
          <w:rFonts w:ascii="標楷體" w:eastAsia="標楷體" w:hAnsi="標楷體"/>
          <w:sz w:val="24"/>
        </w:rPr>
      </w:pPr>
      <w:r w:rsidRPr="00026608">
        <w:rPr>
          <w:rFonts w:ascii="標楷體" w:eastAsia="標楷體" w:hAnsi="標楷體"/>
          <w:sz w:val="24"/>
        </w:rPr>
        <w:t>業務過失或怠忽職務造成本校重大損失。</w:t>
      </w:r>
    </w:p>
    <w:p w:rsidR="00AA090B" w:rsidRPr="00AA090B" w:rsidRDefault="00AA090B" w:rsidP="00AA090B">
      <w:pPr>
        <w:pStyle w:val="a9"/>
        <w:numPr>
          <w:ilvl w:val="0"/>
          <w:numId w:val="1"/>
        </w:numPr>
        <w:tabs>
          <w:tab w:val="left" w:pos="1068"/>
        </w:tabs>
        <w:spacing w:before="91"/>
        <w:ind w:right="0" w:hanging="242"/>
        <w:rPr>
          <w:rFonts w:ascii="標楷體" w:eastAsia="標楷體" w:hAnsi="標楷體"/>
          <w:sz w:val="24"/>
        </w:rPr>
      </w:pPr>
      <w:r w:rsidRPr="00026608">
        <w:rPr>
          <w:rFonts w:ascii="標楷體" w:eastAsia="標楷體" w:hAnsi="標楷體"/>
          <w:sz w:val="24"/>
        </w:rPr>
        <w:t>不服從上級命令及指揮，情節重大者。</w:t>
      </w:r>
    </w:p>
    <w:p w:rsidR="00DD723B" w:rsidRDefault="00AA090B" w:rsidP="00DD723B">
      <w:pPr>
        <w:pStyle w:val="a9"/>
        <w:numPr>
          <w:ilvl w:val="0"/>
          <w:numId w:val="1"/>
        </w:numPr>
        <w:tabs>
          <w:tab w:val="left" w:pos="1068"/>
        </w:tabs>
        <w:spacing w:before="39" w:line="312" w:lineRule="auto"/>
        <w:ind w:right="2820"/>
        <w:rPr>
          <w:rFonts w:ascii="標楷體" w:eastAsia="標楷體" w:hAnsi="標楷體"/>
          <w:sz w:val="24"/>
        </w:rPr>
      </w:pPr>
      <w:r w:rsidRPr="00026608">
        <w:rPr>
          <w:rFonts w:ascii="標楷體" w:eastAsia="標楷體" w:hAnsi="標楷體"/>
          <w:sz w:val="24"/>
        </w:rPr>
        <w:t>依</w:t>
      </w:r>
      <w:r w:rsidR="00DD723B">
        <w:rPr>
          <w:rFonts w:ascii="標楷體" w:eastAsia="標楷體" w:hAnsi="標楷體"/>
          <w:sz w:val="24"/>
        </w:rPr>
        <w:t>法令或職責，應為而不為，或不應為而為之</w:t>
      </w:r>
      <w:r w:rsidR="00DD723B">
        <w:rPr>
          <w:rFonts w:ascii="標楷體" w:eastAsia="標楷體" w:hAnsi="標楷體" w:hint="eastAsia"/>
          <w:sz w:val="24"/>
        </w:rPr>
        <w:t>者。</w:t>
      </w:r>
    </w:p>
    <w:p w:rsidR="00DD723B" w:rsidRDefault="00DD723B" w:rsidP="00AA090B">
      <w:pPr>
        <w:pStyle w:val="a3"/>
        <w:spacing w:line="307" w:lineRule="exact"/>
        <w:rPr>
          <w:rFonts w:ascii="標楷體" w:eastAsia="標楷體" w:hAnsi="標楷體"/>
          <w:spacing w:val="-1"/>
          <w:szCs w:val="22"/>
        </w:rPr>
      </w:pPr>
      <w:r w:rsidRPr="00DD723B">
        <w:rPr>
          <w:rFonts w:ascii="標楷體" w:eastAsia="標楷體" w:hAnsi="標楷體"/>
          <w:spacing w:val="-1"/>
          <w:szCs w:val="22"/>
        </w:rPr>
        <w:t>(三)本計畫倘有業務結束或緊縮、經費來源短缺之情形。</w:t>
      </w:r>
    </w:p>
    <w:p w:rsidR="00AA090B" w:rsidRPr="00026608" w:rsidRDefault="00AA090B" w:rsidP="00AA090B">
      <w:pPr>
        <w:pStyle w:val="a3"/>
        <w:spacing w:line="307" w:lineRule="exact"/>
        <w:rPr>
          <w:rFonts w:ascii="標楷體" w:eastAsia="標楷體" w:hAnsi="標楷體"/>
        </w:rPr>
      </w:pPr>
      <w:r w:rsidRPr="00026608">
        <w:rPr>
          <w:rFonts w:ascii="標楷體" w:eastAsia="標楷體" w:hAnsi="標楷體"/>
        </w:rPr>
        <w:t>(四)本計畫提前解約或不續約時，依勞動基準法及相關規定辦理。</w:t>
      </w:r>
    </w:p>
    <w:p w:rsidR="00AA090B" w:rsidRPr="00026608" w:rsidRDefault="00AA090B" w:rsidP="00AA090B">
      <w:pPr>
        <w:pStyle w:val="a3"/>
        <w:spacing w:before="94" w:line="312" w:lineRule="auto"/>
        <w:ind w:left="598" w:right="175" w:hanging="480"/>
        <w:jc w:val="both"/>
        <w:rPr>
          <w:rFonts w:ascii="標楷體" w:eastAsia="標楷體" w:hAnsi="標楷體"/>
          <w:spacing w:val="-1"/>
        </w:rPr>
      </w:pPr>
      <w:r w:rsidRPr="00026608">
        <w:rPr>
          <w:rFonts w:ascii="標楷體" w:eastAsia="標楷體" w:hAnsi="標楷體"/>
          <w:spacing w:val="-1"/>
        </w:rPr>
        <w:t>八、本要點未盡事宜，依「</w:t>
      </w:r>
      <w:r w:rsidRPr="0031034E">
        <w:rPr>
          <w:rFonts w:ascii="標楷體" w:eastAsia="標楷體" w:hAnsi="標楷體"/>
          <w:color w:val="FF0000"/>
          <w:spacing w:val="-1"/>
          <w:u w:val="single"/>
        </w:rPr>
        <w:t>國家科學及技術委員會補助科研產業化平台計畫作業要點</w:t>
      </w:r>
      <w:r w:rsidRPr="00026608">
        <w:rPr>
          <w:rFonts w:ascii="標楷體" w:eastAsia="標楷體" w:hAnsi="標楷體"/>
          <w:spacing w:val="-1"/>
        </w:rPr>
        <w:t>」</w:t>
      </w:r>
      <w:r w:rsidRPr="00026608">
        <w:rPr>
          <w:rFonts w:ascii="標楷體" w:eastAsia="標楷體" w:hAnsi="標楷體"/>
          <w:spacing w:val="-29"/>
        </w:rPr>
        <w:t>、「國立臺灣海洋大</w:t>
      </w:r>
      <w:r w:rsidRPr="00026608">
        <w:rPr>
          <w:rFonts w:ascii="標楷體" w:eastAsia="標楷體" w:hAnsi="標楷體"/>
          <w:spacing w:val="-1"/>
        </w:rPr>
        <w:t>學研究計畫約用人員管理要點</w:t>
      </w:r>
      <w:r w:rsidRPr="00026608">
        <w:rPr>
          <w:rFonts w:ascii="標楷體" w:eastAsia="標楷體" w:hAnsi="標楷體"/>
          <w:spacing w:val="-18"/>
        </w:rPr>
        <w:t>」、「國立臺灣海洋大學校務基金進用專案工作人員管</w:t>
      </w:r>
      <w:r w:rsidRPr="00026608">
        <w:rPr>
          <w:rFonts w:ascii="標楷體" w:eastAsia="標楷體" w:hAnsi="標楷體"/>
        </w:rPr>
        <w:t>理要點」等相關法令辦理。</w:t>
      </w:r>
    </w:p>
    <w:p w:rsidR="00AA090B" w:rsidRDefault="00AA090B" w:rsidP="001A4305">
      <w:pPr>
        <w:pStyle w:val="a3"/>
        <w:ind w:left="118"/>
        <w:rPr>
          <w:rFonts w:ascii="標楷體" w:eastAsia="標楷體" w:hAnsi="標楷體"/>
        </w:rPr>
      </w:pPr>
      <w:r w:rsidRPr="00026608">
        <w:rPr>
          <w:rFonts w:ascii="標楷體" w:eastAsia="標楷體" w:hAnsi="標楷體"/>
        </w:rPr>
        <w:t>九、本要點經行政會議審議通過後發布施行。</w:t>
      </w:r>
    </w:p>
    <w:p w:rsidR="001A4305" w:rsidRPr="00026608" w:rsidRDefault="001A4305" w:rsidP="001A4305">
      <w:pPr>
        <w:pStyle w:val="a3"/>
        <w:ind w:left="0"/>
        <w:rPr>
          <w:rFonts w:ascii="標楷體" w:eastAsia="標楷體" w:hAnsi="標楷體"/>
        </w:rPr>
        <w:sectPr w:rsidR="001A4305" w:rsidRPr="00026608" w:rsidSect="00AA090B">
          <w:pgSz w:w="11910" w:h="16840"/>
          <w:pgMar w:top="1440" w:right="1240" w:bottom="980" w:left="1300" w:header="0" w:footer="792" w:gutter="0"/>
          <w:cols w:space="720"/>
        </w:sectPr>
      </w:pPr>
    </w:p>
    <w:p w:rsidR="002233E9" w:rsidRPr="001A4305" w:rsidRDefault="002233E9" w:rsidP="00AA090B">
      <w:pPr>
        <w:rPr>
          <w:rFonts w:eastAsiaTheme="minorEastAsia" w:hint="eastAsia"/>
        </w:rPr>
      </w:pPr>
    </w:p>
    <w:sectPr w:rsidR="002233E9" w:rsidRPr="001A4305" w:rsidSect="001948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7A" w:rsidRDefault="00D10D7A" w:rsidP="00AE6DAD">
      <w:r>
        <w:separator/>
      </w:r>
    </w:p>
  </w:endnote>
  <w:endnote w:type="continuationSeparator" w:id="0">
    <w:p w:rsidR="00D10D7A" w:rsidRDefault="00D10D7A" w:rsidP="00AE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7A" w:rsidRDefault="00D10D7A" w:rsidP="00AE6DAD">
      <w:r>
        <w:separator/>
      </w:r>
    </w:p>
  </w:footnote>
  <w:footnote w:type="continuationSeparator" w:id="0">
    <w:p w:rsidR="00D10D7A" w:rsidRDefault="00D10D7A" w:rsidP="00AE6D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76042"/>
    <w:multiLevelType w:val="hybridMultilevel"/>
    <w:tmpl w:val="8AA43CB6"/>
    <w:lvl w:ilvl="0" w:tplc="78389312">
      <w:start w:val="1"/>
      <w:numFmt w:val="decimal"/>
      <w:lvlText w:val="%1."/>
      <w:lvlJc w:val="left"/>
      <w:pPr>
        <w:ind w:left="1067" w:hanging="241"/>
      </w:pPr>
      <w:rPr>
        <w:rFonts w:ascii="SimSun" w:eastAsia="SimSun" w:hAnsi="SimSun" w:cs="SimSun" w:hint="default"/>
        <w:w w:val="100"/>
        <w:sz w:val="22"/>
        <w:szCs w:val="22"/>
        <w:lang w:val="en-US" w:eastAsia="zh-TW" w:bidi="ar-SA"/>
      </w:rPr>
    </w:lvl>
    <w:lvl w:ilvl="1" w:tplc="B34A8E5E">
      <w:numFmt w:val="bullet"/>
      <w:lvlText w:val="•"/>
      <w:lvlJc w:val="left"/>
      <w:pPr>
        <w:ind w:left="1890" w:hanging="241"/>
      </w:pPr>
      <w:rPr>
        <w:rFonts w:hint="default"/>
        <w:lang w:val="en-US" w:eastAsia="zh-TW" w:bidi="ar-SA"/>
      </w:rPr>
    </w:lvl>
    <w:lvl w:ilvl="2" w:tplc="4A2289AA">
      <w:numFmt w:val="bullet"/>
      <w:lvlText w:val="•"/>
      <w:lvlJc w:val="left"/>
      <w:pPr>
        <w:ind w:left="2721" w:hanging="241"/>
      </w:pPr>
      <w:rPr>
        <w:rFonts w:hint="default"/>
        <w:lang w:val="en-US" w:eastAsia="zh-TW" w:bidi="ar-SA"/>
      </w:rPr>
    </w:lvl>
    <w:lvl w:ilvl="3" w:tplc="BB88CA34">
      <w:numFmt w:val="bullet"/>
      <w:lvlText w:val="•"/>
      <w:lvlJc w:val="left"/>
      <w:pPr>
        <w:ind w:left="3551" w:hanging="241"/>
      </w:pPr>
      <w:rPr>
        <w:rFonts w:hint="default"/>
        <w:lang w:val="en-US" w:eastAsia="zh-TW" w:bidi="ar-SA"/>
      </w:rPr>
    </w:lvl>
    <w:lvl w:ilvl="4" w:tplc="CB6C8550">
      <w:numFmt w:val="bullet"/>
      <w:lvlText w:val="•"/>
      <w:lvlJc w:val="left"/>
      <w:pPr>
        <w:ind w:left="4382" w:hanging="241"/>
      </w:pPr>
      <w:rPr>
        <w:rFonts w:hint="default"/>
        <w:lang w:val="en-US" w:eastAsia="zh-TW" w:bidi="ar-SA"/>
      </w:rPr>
    </w:lvl>
    <w:lvl w:ilvl="5" w:tplc="F19E0004">
      <w:numFmt w:val="bullet"/>
      <w:lvlText w:val="•"/>
      <w:lvlJc w:val="left"/>
      <w:pPr>
        <w:ind w:left="5213" w:hanging="241"/>
      </w:pPr>
      <w:rPr>
        <w:rFonts w:hint="default"/>
        <w:lang w:val="en-US" w:eastAsia="zh-TW" w:bidi="ar-SA"/>
      </w:rPr>
    </w:lvl>
    <w:lvl w:ilvl="6" w:tplc="E7B6F034">
      <w:numFmt w:val="bullet"/>
      <w:lvlText w:val="•"/>
      <w:lvlJc w:val="left"/>
      <w:pPr>
        <w:ind w:left="6043" w:hanging="241"/>
      </w:pPr>
      <w:rPr>
        <w:rFonts w:hint="default"/>
        <w:lang w:val="en-US" w:eastAsia="zh-TW" w:bidi="ar-SA"/>
      </w:rPr>
    </w:lvl>
    <w:lvl w:ilvl="7" w:tplc="A45A879A">
      <w:numFmt w:val="bullet"/>
      <w:lvlText w:val="•"/>
      <w:lvlJc w:val="left"/>
      <w:pPr>
        <w:ind w:left="6874" w:hanging="241"/>
      </w:pPr>
      <w:rPr>
        <w:rFonts w:hint="default"/>
        <w:lang w:val="en-US" w:eastAsia="zh-TW" w:bidi="ar-SA"/>
      </w:rPr>
    </w:lvl>
    <w:lvl w:ilvl="8" w:tplc="83B8CDC6">
      <w:numFmt w:val="bullet"/>
      <w:lvlText w:val="•"/>
      <w:lvlJc w:val="left"/>
      <w:pPr>
        <w:ind w:left="7705" w:hanging="241"/>
      </w:pPr>
      <w:rPr>
        <w:rFonts w:hint="default"/>
        <w:lang w:val="en-US" w:eastAsia="zh-TW" w:bidi="ar-SA"/>
      </w:rPr>
    </w:lvl>
  </w:abstractNum>
  <w:abstractNum w:abstractNumId="1" w15:restartNumberingAfterBreak="0">
    <w:nsid w:val="32CB642C"/>
    <w:multiLevelType w:val="hybridMultilevel"/>
    <w:tmpl w:val="826498FA"/>
    <w:lvl w:ilvl="0" w:tplc="4614C41E">
      <w:start w:val="1"/>
      <w:numFmt w:val="decimal"/>
      <w:lvlText w:val="%1."/>
      <w:lvlJc w:val="left"/>
      <w:pPr>
        <w:ind w:left="1066" w:hanging="241"/>
      </w:pPr>
      <w:rPr>
        <w:rFonts w:ascii="SimSun" w:eastAsia="SimSun" w:hAnsi="SimSun" w:cs="SimSun" w:hint="default"/>
        <w:w w:val="100"/>
        <w:sz w:val="22"/>
        <w:szCs w:val="22"/>
        <w:lang w:val="en-US" w:eastAsia="zh-TW" w:bidi="ar-SA"/>
      </w:rPr>
    </w:lvl>
    <w:lvl w:ilvl="1" w:tplc="41189C70">
      <w:numFmt w:val="bullet"/>
      <w:lvlText w:val="•"/>
      <w:lvlJc w:val="left"/>
      <w:pPr>
        <w:ind w:left="1890" w:hanging="241"/>
      </w:pPr>
      <w:rPr>
        <w:rFonts w:hint="default"/>
        <w:lang w:val="en-US" w:eastAsia="zh-TW" w:bidi="ar-SA"/>
      </w:rPr>
    </w:lvl>
    <w:lvl w:ilvl="2" w:tplc="E02CAE0C">
      <w:numFmt w:val="bullet"/>
      <w:lvlText w:val="•"/>
      <w:lvlJc w:val="left"/>
      <w:pPr>
        <w:ind w:left="2721" w:hanging="241"/>
      </w:pPr>
      <w:rPr>
        <w:rFonts w:hint="default"/>
        <w:lang w:val="en-US" w:eastAsia="zh-TW" w:bidi="ar-SA"/>
      </w:rPr>
    </w:lvl>
    <w:lvl w:ilvl="3" w:tplc="98FC90B6">
      <w:numFmt w:val="bullet"/>
      <w:lvlText w:val="•"/>
      <w:lvlJc w:val="left"/>
      <w:pPr>
        <w:ind w:left="3551" w:hanging="241"/>
      </w:pPr>
      <w:rPr>
        <w:rFonts w:hint="default"/>
        <w:lang w:val="en-US" w:eastAsia="zh-TW" w:bidi="ar-SA"/>
      </w:rPr>
    </w:lvl>
    <w:lvl w:ilvl="4" w:tplc="09C2D5E0">
      <w:numFmt w:val="bullet"/>
      <w:lvlText w:val="•"/>
      <w:lvlJc w:val="left"/>
      <w:pPr>
        <w:ind w:left="4382" w:hanging="241"/>
      </w:pPr>
      <w:rPr>
        <w:rFonts w:hint="default"/>
        <w:lang w:val="en-US" w:eastAsia="zh-TW" w:bidi="ar-SA"/>
      </w:rPr>
    </w:lvl>
    <w:lvl w:ilvl="5" w:tplc="7AAA3D92">
      <w:numFmt w:val="bullet"/>
      <w:lvlText w:val="•"/>
      <w:lvlJc w:val="left"/>
      <w:pPr>
        <w:ind w:left="5213" w:hanging="241"/>
      </w:pPr>
      <w:rPr>
        <w:rFonts w:hint="default"/>
        <w:lang w:val="en-US" w:eastAsia="zh-TW" w:bidi="ar-SA"/>
      </w:rPr>
    </w:lvl>
    <w:lvl w:ilvl="6" w:tplc="571681EE">
      <w:numFmt w:val="bullet"/>
      <w:lvlText w:val="•"/>
      <w:lvlJc w:val="left"/>
      <w:pPr>
        <w:ind w:left="6043" w:hanging="241"/>
      </w:pPr>
      <w:rPr>
        <w:rFonts w:hint="default"/>
        <w:lang w:val="en-US" w:eastAsia="zh-TW" w:bidi="ar-SA"/>
      </w:rPr>
    </w:lvl>
    <w:lvl w:ilvl="7" w:tplc="F4E23A60">
      <w:numFmt w:val="bullet"/>
      <w:lvlText w:val="•"/>
      <w:lvlJc w:val="left"/>
      <w:pPr>
        <w:ind w:left="6874" w:hanging="241"/>
      </w:pPr>
      <w:rPr>
        <w:rFonts w:hint="default"/>
        <w:lang w:val="en-US" w:eastAsia="zh-TW" w:bidi="ar-SA"/>
      </w:rPr>
    </w:lvl>
    <w:lvl w:ilvl="8" w:tplc="C0F87362">
      <w:numFmt w:val="bullet"/>
      <w:lvlText w:val="•"/>
      <w:lvlJc w:val="left"/>
      <w:pPr>
        <w:ind w:left="7705" w:hanging="241"/>
      </w:pPr>
      <w:rPr>
        <w:rFonts w:hint="default"/>
        <w:lang w:val="en-US" w:eastAsia="zh-TW" w:bidi="ar-SA"/>
      </w:rPr>
    </w:lvl>
  </w:abstractNum>
  <w:abstractNum w:abstractNumId="2" w15:restartNumberingAfterBreak="0">
    <w:nsid w:val="3F5A11CF"/>
    <w:multiLevelType w:val="hybridMultilevel"/>
    <w:tmpl w:val="BB60C8F2"/>
    <w:lvl w:ilvl="0" w:tplc="71A64580">
      <w:start w:val="1"/>
      <w:numFmt w:val="decimal"/>
      <w:lvlText w:val="%1."/>
      <w:lvlJc w:val="left"/>
      <w:pPr>
        <w:ind w:left="1067" w:hanging="241"/>
      </w:pPr>
      <w:rPr>
        <w:rFonts w:ascii="SimSun" w:eastAsia="SimSun" w:hAnsi="SimSun" w:cs="SimSun" w:hint="default"/>
        <w:w w:val="100"/>
        <w:sz w:val="22"/>
        <w:szCs w:val="22"/>
        <w:lang w:val="en-US" w:eastAsia="zh-TW" w:bidi="ar-SA"/>
      </w:rPr>
    </w:lvl>
    <w:lvl w:ilvl="1" w:tplc="9454FE2A">
      <w:start w:val="1"/>
      <w:numFmt w:val="decimal"/>
      <w:lvlText w:val="（%2）"/>
      <w:lvlJc w:val="left"/>
      <w:pPr>
        <w:ind w:left="1711" w:hanging="601"/>
      </w:pPr>
      <w:rPr>
        <w:rFonts w:ascii="SimSun" w:eastAsia="SimSun" w:hAnsi="SimSun" w:cs="SimSun" w:hint="default"/>
        <w:w w:val="100"/>
        <w:sz w:val="22"/>
        <w:szCs w:val="22"/>
        <w:lang w:val="en-US" w:eastAsia="zh-TW" w:bidi="ar-SA"/>
      </w:rPr>
    </w:lvl>
    <w:lvl w:ilvl="2" w:tplc="2230CE10">
      <w:numFmt w:val="bullet"/>
      <w:lvlText w:val="•"/>
      <w:lvlJc w:val="left"/>
      <w:pPr>
        <w:ind w:left="2569" w:hanging="601"/>
      </w:pPr>
      <w:rPr>
        <w:rFonts w:hint="default"/>
        <w:lang w:val="en-US" w:eastAsia="zh-TW" w:bidi="ar-SA"/>
      </w:rPr>
    </w:lvl>
    <w:lvl w:ilvl="3" w:tplc="C14634CE">
      <w:numFmt w:val="bullet"/>
      <w:lvlText w:val="•"/>
      <w:lvlJc w:val="left"/>
      <w:pPr>
        <w:ind w:left="3419" w:hanging="601"/>
      </w:pPr>
      <w:rPr>
        <w:rFonts w:hint="default"/>
        <w:lang w:val="en-US" w:eastAsia="zh-TW" w:bidi="ar-SA"/>
      </w:rPr>
    </w:lvl>
    <w:lvl w:ilvl="4" w:tplc="24CC00C0">
      <w:numFmt w:val="bullet"/>
      <w:lvlText w:val="•"/>
      <w:lvlJc w:val="left"/>
      <w:pPr>
        <w:ind w:left="4268" w:hanging="601"/>
      </w:pPr>
      <w:rPr>
        <w:rFonts w:hint="default"/>
        <w:lang w:val="en-US" w:eastAsia="zh-TW" w:bidi="ar-SA"/>
      </w:rPr>
    </w:lvl>
    <w:lvl w:ilvl="5" w:tplc="2FE01122">
      <w:numFmt w:val="bullet"/>
      <w:lvlText w:val="•"/>
      <w:lvlJc w:val="left"/>
      <w:pPr>
        <w:ind w:left="5118" w:hanging="601"/>
      </w:pPr>
      <w:rPr>
        <w:rFonts w:hint="default"/>
        <w:lang w:val="en-US" w:eastAsia="zh-TW" w:bidi="ar-SA"/>
      </w:rPr>
    </w:lvl>
    <w:lvl w:ilvl="6" w:tplc="96B8B96C">
      <w:numFmt w:val="bullet"/>
      <w:lvlText w:val="•"/>
      <w:lvlJc w:val="left"/>
      <w:pPr>
        <w:ind w:left="5968" w:hanging="601"/>
      </w:pPr>
      <w:rPr>
        <w:rFonts w:hint="default"/>
        <w:lang w:val="en-US" w:eastAsia="zh-TW" w:bidi="ar-SA"/>
      </w:rPr>
    </w:lvl>
    <w:lvl w:ilvl="7" w:tplc="1E4CCF96">
      <w:numFmt w:val="bullet"/>
      <w:lvlText w:val="•"/>
      <w:lvlJc w:val="left"/>
      <w:pPr>
        <w:ind w:left="6817" w:hanging="601"/>
      </w:pPr>
      <w:rPr>
        <w:rFonts w:hint="default"/>
        <w:lang w:val="en-US" w:eastAsia="zh-TW" w:bidi="ar-SA"/>
      </w:rPr>
    </w:lvl>
    <w:lvl w:ilvl="8" w:tplc="3C223116">
      <w:numFmt w:val="bullet"/>
      <w:lvlText w:val="•"/>
      <w:lvlJc w:val="left"/>
      <w:pPr>
        <w:ind w:left="7667" w:hanging="601"/>
      </w:pPr>
      <w:rPr>
        <w:rFonts w:hint="default"/>
        <w:lang w:val="en-US" w:eastAsia="zh-TW" w:bidi="ar-SA"/>
      </w:rPr>
    </w:lvl>
  </w:abstractNum>
  <w:abstractNum w:abstractNumId="3" w15:restartNumberingAfterBreak="0">
    <w:nsid w:val="3F8C2835"/>
    <w:multiLevelType w:val="hybridMultilevel"/>
    <w:tmpl w:val="FB4070EC"/>
    <w:lvl w:ilvl="0" w:tplc="78389312">
      <w:start w:val="1"/>
      <w:numFmt w:val="decimal"/>
      <w:lvlText w:val="%1."/>
      <w:lvlJc w:val="left"/>
      <w:pPr>
        <w:ind w:left="1067" w:hanging="241"/>
      </w:pPr>
      <w:rPr>
        <w:rFonts w:ascii="SimSun" w:eastAsia="SimSun" w:hAnsi="SimSun" w:cs="SimSun" w:hint="default"/>
        <w:w w:val="100"/>
        <w:sz w:val="22"/>
        <w:szCs w:val="22"/>
        <w:lang w:val="en-US" w:eastAsia="zh-TW" w:bidi="ar-SA"/>
      </w:rPr>
    </w:lvl>
    <w:lvl w:ilvl="1" w:tplc="B34A8E5E">
      <w:numFmt w:val="bullet"/>
      <w:lvlText w:val="•"/>
      <w:lvlJc w:val="left"/>
      <w:pPr>
        <w:ind w:left="1890" w:hanging="241"/>
      </w:pPr>
      <w:rPr>
        <w:rFonts w:hint="default"/>
        <w:lang w:val="en-US" w:eastAsia="zh-TW" w:bidi="ar-SA"/>
      </w:rPr>
    </w:lvl>
    <w:lvl w:ilvl="2" w:tplc="4A2289AA">
      <w:numFmt w:val="bullet"/>
      <w:lvlText w:val="•"/>
      <w:lvlJc w:val="left"/>
      <w:pPr>
        <w:ind w:left="2721" w:hanging="241"/>
      </w:pPr>
      <w:rPr>
        <w:rFonts w:hint="default"/>
        <w:lang w:val="en-US" w:eastAsia="zh-TW" w:bidi="ar-SA"/>
      </w:rPr>
    </w:lvl>
    <w:lvl w:ilvl="3" w:tplc="BB88CA34">
      <w:numFmt w:val="bullet"/>
      <w:lvlText w:val="•"/>
      <w:lvlJc w:val="left"/>
      <w:pPr>
        <w:ind w:left="3551" w:hanging="241"/>
      </w:pPr>
      <w:rPr>
        <w:rFonts w:hint="default"/>
        <w:lang w:val="en-US" w:eastAsia="zh-TW" w:bidi="ar-SA"/>
      </w:rPr>
    </w:lvl>
    <w:lvl w:ilvl="4" w:tplc="CB6C8550">
      <w:numFmt w:val="bullet"/>
      <w:lvlText w:val="•"/>
      <w:lvlJc w:val="left"/>
      <w:pPr>
        <w:ind w:left="4382" w:hanging="241"/>
      </w:pPr>
      <w:rPr>
        <w:rFonts w:hint="default"/>
        <w:lang w:val="en-US" w:eastAsia="zh-TW" w:bidi="ar-SA"/>
      </w:rPr>
    </w:lvl>
    <w:lvl w:ilvl="5" w:tplc="F19E0004">
      <w:numFmt w:val="bullet"/>
      <w:lvlText w:val="•"/>
      <w:lvlJc w:val="left"/>
      <w:pPr>
        <w:ind w:left="5213" w:hanging="241"/>
      </w:pPr>
      <w:rPr>
        <w:rFonts w:hint="default"/>
        <w:lang w:val="en-US" w:eastAsia="zh-TW" w:bidi="ar-SA"/>
      </w:rPr>
    </w:lvl>
    <w:lvl w:ilvl="6" w:tplc="E7B6F034">
      <w:numFmt w:val="bullet"/>
      <w:lvlText w:val="•"/>
      <w:lvlJc w:val="left"/>
      <w:pPr>
        <w:ind w:left="6043" w:hanging="241"/>
      </w:pPr>
      <w:rPr>
        <w:rFonts w:hint="default"/>
        <w:lang w:val="en-US" w:eastAsia="zh-TW" w:bidi="ar-SA"/>
      </w:rPr>
    </w:lvl>
    <w:lvl w:ilvl="7" w:tplc="A45A879A">
      <w:numFmt w:val="bullet"/>
      <w:lvlText w:val="•"/>
      <w:lvlJc w:val="left"/>
      <w:pPr>
        <w:ind w:left="6874" w:hanging="241"/>
      </w:pPr>
      <w:rPr>
        <w:rFonts w:hint="default"/>
        <w:lang w:val="en-US" w:eastAsia="zh-TW" w:bidi="ar-SA"/>
      </w:rPr>
    </w:lvl>
    <w:lvl w:ilvl="8" w:tplc="83B8CDC6">
      <w:numFmt w:val="bullet"/>
      <w:lvlText w:val="•"/>
      <w:lvlJc w:val="left"/>
      <w:pPr>
        <w:ind w:left="7705" w:hanging="241"/>
      </w:pPr>
      <w:rPr>
        <w:rFonts w:hint="default"/>
        <w:lang w:val="en-US" w:eastAsia="zh-TW" w:bidi="ar-SA"/>
      </w:rPr>
    </w:lvl>
  </w:abstractNum>
  <w:abstractNum w:abstractNumId="4" w15:restartNumberingAfterBreak="0">
    <w:nsid w:val="428D59A0"/>
    <w:multiLevelType w:val="hybridMultilevel"/>
    <w:tmpl w:val="0CB4B890"/>
    <w:lvl w:ilvl="0" w:tplc="F84E7E10">
      <w:start w:val="1"/>
      <w:numFmt w:val="decimal"/>
      <w:lvlText w:val="%1."/>
      <w:lvlJc w:val="left"/>
      <w:pPr>
        <w:ind w:left="1067" w:hanging="241"/>
      </w:pPr>
      <w:rPr>
        <w:rFonts w:ascii="SimSun" w:eastAsia="SimSun" w:hAnsi="SimSun" w:cs="SimSun" w:hint="default"/>
        <w:w w:val="100"/>
        <w:sz w:val="22"/>
        <w:szCs w:val="22"/>
        <w:lang w:val="en-US" w:eastAsia="zh-TW" w:bidi="ar-SA"/>
      </w:rPr>
    </w:lvl>
    <w:lvl w:ilvl="1" w:tplc="B07E5384">
      <w:numFmt w:val="bullet"/>
      <w:lvlText w:val="•"/>
      <w:lvlJc w:val="left"/>
      <w:pPr>
        <w:ind w:left="1890" w:hanging="241"/>
      </w:pPr>
      <w:rPr>
        <w:rFonts w:hint="default"/>
        <w:lang w:val="en-US" w:eastAsia="zh-TW" w:bidi="ar-SA"/>
      </w:rPr>
    </w:lvl>
    <w:lvl w:ilvl="2" w:tplc="3FEE13DA">
      <w:numFmt w:val="bullet"/>
      <w:lvlText w:val="•"/>
      <w:lvlJc w:val="left"/>
      <w:pPr>
        <w:ind w:left="2721" w:hanging="241"/>
      </w:pPr>
      <w:rPr>
        <w:rFonts w:hint="default"/>
        <w:lang w:val="en-US" w:eastAsia="zh-TW" w:bidi="ar-SA"/>
      </w:rPr>
    </w:lvl>
    <w:lvl w:ilvl="3" w:tplc="F8D6C6CA">
      <w:numFmt w:val="bullet"/>
      <w:lvlText w:val="•"/>
      <w:lvlJc w:val="left"/>
      <w:pPr>
        <w:ind w:left="3551" w:hanging="241"/>
      </w:pPr>
      <w:rPr>
        <w:rFonts w:hint="default"/>
        <w:lang w:val="en-US" w:eastAsia="zh-TW" w:bidi="ar-SA"/>
      </w:rPr>
    </w:lvl>
    <w:lvl w:ilvl="4" w:tplc="EAFA3F7E">
      <w:numFmt w:val="bullet"/>
      <w:lvlText w:val="•"/>
      <w:lvlJc w:val="left"/>
      <w:pPr>
        <w:ind w:left="4382" w:hanging="241"/>
      </w:pPr>
      <w:rPr>
        <w:rFonts w:hint="default"/>
        <w:lang w:val="en-US" w:eastAsia="zh-TW" w:bidi="ar-SA"/>
      </w:rPr>
    </w:lvl>
    <w:lvl w:ilvl="5" w:tplc="3382921E">
      <w:numFmt w:val="bullet"/>
      <w:lvlText w:val="•"/>
      <w:lvlJc w:val="left"/>
      <w:pPr>
        <w:ind w:left="5213" w:hanging="241"/>
      </w:pPr>
      <w:rPr>
        <w:rFonts w:hint="default"/>
        <w:lang w:val="en-US" w:eastAsia="zh-TW" w:bidi="ar-SA"/>
      </w:rPr>
    </w:lvl>
    <w:lvl w:ilvl="6" w:tplc="26CA72D2">
      <w:numFmt w:val="bullet"/>
      <w:lvlText w:val="•"/>
      <w:lvlJc w:val="left"/>
      <w:pPr>
        <w:ind w:left="6043" w:hanging="241"/>
      </w:pPr>
      <w:rPr>
        <w:rFonts w:hint="default"/>
        <w:lang w:val="en-US" w:eastAsia="zh-TW" w:bidi="ar-SA"/>
      </w:rPr>
    </w:lvl>
    <w:lvl w:ilvl="7" w:tplc="6BA2C55A">
      <w:numFmt w:val="bullet"/>
      <w:lvlText w:val="•"/>
      <w:lvlJc w:val="left"/>
      <w:pPr>
        <w:ind w:left="6874" w:hanging="241"/>
      </w:pPr>
      <w:rPr>
        <w:rFonts w:hint="default"/>
        <w:lang w:val="en-US" w:eastAsia="zh-TW" w:bidi="ar-SA"/>
      </w:rPr>
    </w:lvl>
    <w:lvl w:ilvl="8" w:tplc="CAF218FC">
      <w:numFmt w:val="bullet"/>
      <w:lvlText w:val="•"/>
      <w:lvlJc w:val="left"/>
      <w:pPr>
        <w:ind w:left="7705" w:hanging="241"/>
      </w:pPr>
      <w:rPr>
        <w:rFonts w:hint="default"/>
        <w:lang w:val="en-US" w:eastAsia="zh-TW" w:bidi="ar-SA"/>
      </w:rPr>
    </w:lvl>
  </w:abstractNum>
  <w:abstractNum w:abstractNumId="5" w15:restartNumberingAfterBreak="0">
    <w:nsid w:val="5C950784"/>
    <w:multiLevelType w:val="hybridMultilevel"/>
    <w:tmpl w:val="EA183A3C"/>
    <w:lvl w:ilvl="0" w:tplc="6DF0FE76">
      <w:start w:val="1"/>
      <w:numFmt w:val="decimal"/>
      <w:lvlText w:val="（%1）"/>
      <w:lvlJc w:val="left"/>
      <w:pPr>
        <w:ind w:left="1427" w:hanging="601"/>
      </w:pPr>
      <w:rPr>
        <w:rFonts w:ascii="SimSun" w:eastAsia="SimSun" w:hAnsi="SimSun" w:cs="SimSun" w:hint="default"/>
        <w:w w:val="100"/>
        <w:sz w:val="22"/>
        <w:szCs w:val="22"/>
        <w:lang w:val="en-US" w:eastAsia="zh-TW" w:bidi="ar-SA"/>
      </w:rPr>
    </w:lvl>
    <w:lvl w:ilvl="1" w:tplc="A77CEB8C">
      <w:numFmt w:val="bullet"/>
      <w:lvlText w:val="•"/>
      <w:lvlJc w:val="left"/>
      <w:pPr>
        <w:ind w:left="2214" w:hanging="601"/>
      </w:pPr>
      <w:rPr>
        <w:rFonts w:hint="default"/>
        <w:lang w:val="en-US" w:eastAsia="zh-TW" w:bidi="ar-SA"/>
      </w:rPr>
    </w:lvl>
    <w:lvl w:ilvl="2" w:tplc="1ABA97C0">
      <w:numFmt w:val="bullet"/>
      <w:lvlText w:val="•"/>
      <w:lvlJc w:val="left"/>
      <w:pPr>
        <w:ind w:left="3009" w:hanging="601"/>
      </w:pPr>
      <w:rPr>
        <w:rFonts w:hint="default"/>
        <w:lang w:val="en-US" w:eastAsia="zh-TW" w:bidi="ar-SA"/>
      </w:rPr>
    </w:lvl>
    <w:lvl w:ilvl="3" w:tplc="235CF362">
      <w:numFmt w:val="bullet"/>
      <w:lvlText w:val="•"/>
      <w:lvlJc w:val="left"/>
      <w:pPr>
        <w:ind w:left="3803" w:hanging="601"/>
      </w:pPr>
      <w:rPr>
        <w:rFonts w:hint="default"/>
        <w:lang w:val="en-US" w:eastAsia="zh-TW" w:bidi="ar-SA"/>
      </w:rPr>
    </w:lvl>
    <w:lvl w:ilvl="4" w:tplc="8880098A">
      <w:numFmt w:val="bullet"/>
      <w:lvlText w:val="•"/>
      <w:lvlJc w:val="left"/>
      <w:pPr>
        <w:ind w:left="4598" w:hanging="601"/>
      </w:pPr>
      <w:rPr>
        <w:rFonts w:hint="default"/>
        <w:lang w:val="en-US" w:eastAsia="zh-TW" w:bidi="ar-SA"/>
      </w:rPr>
    </w:lvl>
    <w:lvl w:ilvl="5" w:tplc="366EA0CE">
      <w:numFmt w:val="bullet"/>
      <w:lvlText w:val="•"/>
      <w:lvlJc w:val="left"/>
      <w:pPr>
        <w:ind w:left="5393" w:hanging="601"/>
      </w:pPr>
      <w:rPr>
        <w:rFonts w:hint="default"/>
        <w:lang w:val="en-US" w:eastAsia="zh-TW" w:bidi="ar-SA"/>
      </w:rPr>
    </w:lvl>
    <w:lvl w:ilvl="6" w:tplc="6BD2B12E">
      <w:numFmt w:val="bullet"/>
      <w:lvlText w:val="•"/>
      <w:lvlJc w:val="left"/>
      <w:pPr>
        <w:ind w:left="6187" w:hanging="601"/>
      </w:pPr>
      <w:rPr>
        <w:rFonts w:hint="default"/>
        <w:lang w:val="en-US" w:eastAsia="zh-TW" w:bidi="ar-SA"/>
      </w:rPr>
    </w:lvl>
    <w:lvl w:ilvl="7" w:tplc="DFEAA086">
      <w:numFmt w:val="bullet"/>
      <w:lvlText w:val="•"/>
      <w:lvlJc w:val="left"/>
      <w:pPr>
        <w:ind w:left="6982" w:hanging="601"/>
      </w:pPr>
      <w:rPr>
        <w:rFonts w:hint="default"/>
        <w:lang w:val="en-US" w:eastAsia="zh-TW" w:bidi="ar-SA"/>
      </w:rPr>
    </w:lvl>
    <w:lvl w:ilvl="8" w:tplc="E30E3360">
      <w:numFmt w:val="bullet"/>
      <w:lvlText w:val="•"/>
      <w:lvlJc w:val="left"/>
      <w:pPr>
        <w:ind w:left="7777" w:hanging="601"/>
      </w:pPr>
      <w:rPr>
        <w:rFonts w:hint="default"/>
        <w:lang w:val="en-US" w:eastAsia="zh-TW" w:bidi="ar-SA"/>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6A"/>
    <w:rsid w:val="000E3F30"/>
    <w:rsid w:val="00194890"/>
    <w:rsid w:val="001A4305"/>
    <w:rsid w:val="002233E9"/>
    <w:rsid w:val="0031034E"/>
    <w:rsid w:val="003747A6"/>
    <w:rsid w:val="00737F6A"/>
    <w:rsid w:val="00A17EFE"/>
    <w:rsid w:val="00A7445F"/>
    <w:rsid w:val="00AA090B"/>
    <w:rsid w:val="00AE6DAD"/>
    <w:rsid w:val="00D10D7A"/>
    <w:rsid w:val="00DD723B"/>
    <w:rsid w:val="00F13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640CA-C28C-48E6-88C8-0C6D658A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7F6A"/>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37F6A"/>
    <w:pPr>
      <w:ind w:left="618"/>
    </w:pPr>
    <w:rPr>
      <w:sz w:val="24"/>
      <w:szCs w:val="24"/>
    </w:rPr>
  </w:style>
  <w:style w:type="character" w:customStyle="1" w:styleId="a4">
    <w:name w:val="本文 字元"/>
    <w:basedOn w:val="a0"/>
    <w:link w:val="a3"/>
    <w:uiPriority w:val="1"/>
    <w:rsid w:val="00737F6A"/>
    <w:rPr>
      <w:rFonts w:ascii="Noto Sans Mono CJK JP Regular" w:eastAsia="Noto Sans Mono CJK JP Regular" w:hAnsi="Noto Sans Mono CJK JP Regular" w:cs="Noto Sans Mono CJK JP Regular"/>
      <w:kern w:val="0"/>
      <w:szCs w:val="24"/>
      <w:lang w:val="zh-TW" w:bidi="zh-TW"/>
    </w:rPr>
  </w:style>
  <w:style w:type="paragraph" w:styleId="a5">
    <w:name w:val="Title"/>
    <w:basedOn w:val="a"/>
    <w:link w:val="a6"/>
    <w:uiPriority w:val="1"/>
    <w:qFormat/>
    <w:rsid w:val="00737F6A"/>
    <w:pPr>
      <w:spacing w:line="442" w:lineRule="exact"/>
      <w:ind w:left="1207" w:right="1202"/>
      <w:jc w:val="center"/>
    </w:pPr>
    <w:rPr>
      <w:rFonts w:ascii="微軟正黑體" w:eastAsia="微軟正黑體" w:hAnsi="微軟正黑體" w:cs="微軟正黑體"/>
      <w:b/>
      <w:bCs/>
      <w:sz w:val="28"/>
      <w:szCs w:val="28"/>
      <w:lang w:val="en-US" w:bidi="ar-SA"/>
    </w:rPr>
  </w:style>
  <w:style w:type="character" w:customStyle="1" w:styleId="a6">
    <w:name w:val="標題 字元"/>
    <w:basedOn w:val="a0"/>
    <w:link w:val="a5"/>
    <w:uiPriority w:val="1"/>
    <w:rsid w:val="00737F6A"/>
    <w:rPr>
      <w:rFonts w:ascii="微軟正黑體" w:eastAsia="微軟正黑體" w:hAnsi="微軟正黑體" w:cs="微軟正黑體"/>
      <w:b/>
      <w:bCs/>
      <w:kern w:val="0"/>
      <w:sz w:val="28"/>
      <w:szCs w:val="28"/>
    </w:rPr>
  </w:style>
  <w:style w:type="paragraph" w:styleId="a7">
    <w:name w:val="Date"/>
    <w:basedOn w:val="a"/>
    <w:next w:val="a"/>
    <w:link w:val="a8"/>
    <w:uiPriority w:val="99"/>
    <w:semiHidden/>
    <w:unhideWhenUsed/>
    <w:rsid w:val="00A7445F"/>
    <w:pPr>
      <w:jc w:val="right"/>
    </w:pPr>
  </w:style>
  <w:style w:type="character" w:customStyle="1" w:styleId="a8">
    <w:name w:val="日期 字元"/>
    <w:basedOn w:val="a0"/>
    <w:link w:val="a7"/>
    <w:uiPriority w:val="99"/>
    <w:semiHidden/>
    <w:rsid w:val="00A7445F"/>
    <w:rPr>
      <w:rFonts w:ascii="Noto Sans Mono CJK JP Regular" w:eastAsia="Noto Sans Mono CJK JP Regular" w:hAnsi="Noto Sans Mono CJK JP Regular" w:cs="Noto Sans Mono CJK JP Regular"/>
      <w:kern w:val="0"/>
      <w:sz w:val="22"/>
      <w:lang w:val="zh-TW" w:bidi="zh-TW"/>
    </w:rPr>
  </w:style>
  <w:style w:type="paragraph" w:styleId="a9">
    <w:name w:val="List Paragraph"/>
    <w:aliases w:val="x.x.x內文,卑南壹"/>
    <w:basedOn w:val="a"/>
    <w:link w:val="aa"/>
    <w:uiPriority w:val="1"/>
    <w:qFormat/>
    <w:rsid w:val="00AA090B"/>
    <w:pPr>
      <w:ind w:left="978" w:right="6493" w:firstLine="360"/>
    </w:pPr>
  </w:style>
  <w:style w:type="character" w:customStyle="1" w:styleId="aa">
    <w:name w:val="清單段落 字元"/>
    <w:aliases w:val="x.x.x內文 字元,卑南壹 字元"/>
    <w:link w:val="a9"/>
    <w:uiPriority w:val="1"/>
    <w:rsid w:val="00AA090B"/>
    <w:rPr>
      <w:rFonts w:ascii="Noto Sans Mono CJK JP Regular" w:eastAsia="Noto Sans Mono CJK JP Regular" w:hAnsi="Noto Sans Mono CJK JP Regular" w:cs="Noto Sans Mono CJK JP Regular"/>
      <w:kern w:val="0"/>
      <w:sz w:val="22"/>
      <w:lang w:val="zh-TW" w:bidi="zh-TW"/>
    </w:rPr>
  </w:style>
  <w:style w:type="paragraph" w:styleId="ab">
    <w:name w:val="header"/>
    <w:basedOn w:val="a"/>
    <w:link w:val="ac"/>
    <w:uiPriority w:val="99"/>
    <w:unhideWhenUsed/>
    <w:rsid w:val="00AE6DAD"/>
    <w:pPr>
      <w:tabs>
        <w:tab w:val="center" w:pos="4153"/>
        <w:tab w:val="right" w:pos="8306"/>
      </w:tabs>
      <w:snapToGrid w:val="0"/>
    </w:pPr>
    <w:rPr>
      <w:sz w:val="20"/>
      <w:szCs w:val="20"/>
    </w:rPr>
  </w:style>
  <w:style w:type="character" w:customStyle="1" w:styleId="ac">
    <w:name w:val="頁首 字元"/>
    <w:basedOn w:val="a0"/>
    <w:link w:val="ab"/>
    <w:uiPriority w:val="99"/>
    <w:rsid w:val="00AE6DAD"/>
    <w:rPr>
      <w:rFonts w:ascii="Noto Sans Mono CJK JP Regular" w:eastAsia="Noto Sans Mono CJK JP Regular" w:hAnsi="Noto Sans Mono CJK JP Regular" w:cs="Noto Sans Mono CJK JP Regular"/>
      <w:kern w:val="0"/>
      <w:sz w:val="20"/>
      <w:szCs w:val="20"/>
      <w:lang w:val="zh-TW" w:bidi="zh-TW"/>
    </w:rPr>
  </w:style>
  <w:style w:type="paragraph" w:styleId="ad">
    <w:name w:val="footer"/>
    <w:basedOn w:val="a"/>
    <w:link w:val="ae"/>
    <w:uiPriority w:val="99"/>
    <w:unhideWhenUsed/>
    <w:rsid w:val="00AE6DAD"/>
    <w:pPr>
      <w:tabs>
        <w:tab w:val="center" w:pos="4153"/>
        <w:tab w:val="right" w:pos="8306"/>
      </w:tabs>
      <w:snapToGrid w:val="0"/>
    </w:pPr>
    <w:rPr>
      <w:sz w:val="20"/>
      <w:szCs w:val="20"/>
    </w:rPr>
  </w:style>
  <w:style w:type="character" w:customStyle="1" w:styleId="ae">
    <w:name w:val="頁尾 字元"/>
    <w:basedOn w:val="a0"/>
    <w:link w:val="ad"/>
    <w:uiPriority w:val="99"/>
    <w:rsid w:val="00AE6DAD"/>
    <w:rPr>
      <w:rFonts w:ascii="Noto Sans Mono CJK JP Regular" w:eastAsia="Noto Sans Mono CJK JP Regular" w:hAnsi="Noto Sans Mono CJK JP Regular" w:cs="Noto Sans Mono CJK JP Regular"/>
      <w:kern w:val="0"/>
      <w:sz w:val="20"/>
      <w:szCs w:val="2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6681">
      <w:bodyDiv w:val="1"/>
      <w:marLeft w:val="0"/>
      <w:marRight w:val="0"/>
      <w:marTop w:val="0"/>
      <w:marBottom w:val="0"/>
      <w:divBdr>
        <w:top w:val="none" w:sz="0" w:space="0" w:color="auto"/>
        <w:left w:val="none" w:sz="0" w:space="0" w:color="auto"/>
        <w:bottom w:val="none" w:sz="0" w:space="0" w:color="auto"/>
        <w:right w:val="none" w:sz="0" w:space="0" w:color="auto"/>
      </w:divBdr>
    </w:div>
    <w:div w:id="15813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2024-01-09T02:29:00Z</cp:lastPrinted>
  <dcterms:created xsi:type="dcterms:W3CDTF">2024-01-09T02:45:00Z</dcterms:created>
  <dcterms:modified xsi:type="dcterms:W3CDTF">2024-01-26T07:31:00Z</dcterms:modified>
</cp:coreProperties>
</file>